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b w:val="0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8890</wp:posOffset>
            </wp:positionH>
            <wp:positionV relativeFrom="page">
              <wp:posOffset>8890</wp:posOffset>
            </wp:positionV>
            <wp:extent cx="7543800" cy="106711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right="660" w:bottom="280" w:left="560" w:header="720" w:footer="720" w:gutter="0"/>
          <w:cols w:space="720" w:num="1"/>
        </w:sectPr>
      </w:pPr>
    </w:p>
    <w:p>
      <w:pPr>
        <w:pStyle w:val="3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2057400" cy="6731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spacing w:before="3"/>
        <w:rPr>
          <w:rFonts w:ascii="Times New Roman"/>
          <w:b w:val="0"/>
          <w:sz w:val="12"/>
        </w:rPr>
      </w:pPr>
      <w:r>
        <w:pict>
          <v:group id="_x0000_s1026" o:spid="_x0000_s1026" o:spt="203" style="position:absolute;left:0pt;margin-left:44.9pt;margin-top:9pt;height:128pt;width:512.25pt;mso-position-horizontal-relative:page;mso-wrap-distance-bottom:0pt;mso-wrap-distance-top:0pt;z-index:-251654144;mso-width-relative:page;mso-height-relative:page;" coordorigin="898,181" coordsize="10245,2560">
            <o:lock v:ext="edit"/>
            <v:shape id="_x0000_s1027" o:spid="_x0000_s1027" style="position:absolute;left:898;top:180;height:2560;width:10245;" fillcolor="#1F487C" filled="t" stroked="f" coordorigin="898,181" coordsize="10245,2560" path="m1257,201l1192,201,1202,181,1267,181,1257,201xm10850,201l10785,201,10774,181,10840,181,10850,201xm1187,221l1143,221,1153,201,1197,201,1187,221xm10899,221l10855,221,10845,201,10889,201,10899,221xm1132,241l1107,241,1125,221,1150,221,1132,241xm10935,241l10910,241,10892,221,10917,221,10935,241xm1097,261l1072,261,1089,241,1115,241,1097,261xm10970,261l10945,261,10927,241,10953,241,10970,261xm1022,321l1011,321,1025,301,1040,281,1056,261,1081,261,1065,281,1066,281,1050,301,1036,301,1022,321xm11031,321l11020,321,11006,301,10992,301,10976,281,10977,281,10961,261,10986,261,11002,281,11017,301,11031,321xm955,421l941,421,951,401,961,381,972,361,984,341,997,321,1022,321,1009,341,1009,341,996,361,985,361,974,381,974,381,964,401,964,401,955,421xm11101,421l11087,421,11078,401,11078,401,11068,381,11068,381,11057,361,11046,361,11033,341,11033,341,11020,321,11045,321,11058,341,11070,361,11081,381,11091,401,11101,421xm950,441l932,441,937,421,955,421,950,441xm11109,441l11092,441,11087,421,11105,421,11109,441xm939,461l925,461,928,441,942,441,939,461xm11117,461l11103,461,11099,441,11113,441,11117,461xm932,481l918,481,921,461,935,461,932,481xm11124,481l11110,481,11107,461,11121,461,11124,481xm927,501l912,501,915,481,929,481,927,501xm11130,501l11115,501,11113,481,11127,481,11130,501xm922,521l907,521,910,501,924,501,922,521xm11135,521l11120,521,11118,501,11132,501,11135,521xm918,541l903,541,905,521,920,521,918,541xm11138,541l11124,541,11122,521,11137,521,11138,541xm916,561l901,561,902,541,917,541,916,561xm11141,561l11126,561,11125,541,11140,541,11141,561xm914,601l899,601,899,581,900,561,916,561,915,581,914,581,914,601xm11143,601l11128,601,11128,581,11127,581,11126,561,11142,561,11143,581,11143,601xm914,2321l899,2321,898,601,913,601,914,2321xm11143,2321l11128,2321,11128,601,11143,601,11143,2321xm915,2341l900,2341,899,2321,914,2321,915,2341xm11142,2341l11127,2341,11128,2321,11143,2321,11142,2341xm917,2361l902,2361,901,2341,916,2341,917,2361xm11140,2361l11125,2361,11126,2341,11141,2341,11140,2361xm920,2381l905,2381,903,2361,918,2361,920,2381xm11137,2381l11122,2381,11124,2361,11138,2361,11137,2381xm929,2421l912,2421,910,2401,907,2381,922,2381,924,2401,927,2401,929,2421xm11130,2421l11113,2421,11115,2401,11118,2401,11120,2381,11135,2381,11132,2401,11130,2421xm935,2441l918,2441,915,2421,932,2421,935,2441xm11124,2441l11107,2441,11110,2421,11127,2421,11124,2441xm942,2461l925,2461,921,2441,939,2441,942,2461xm11117,2461l11099,2461,11103,2441,11121,2441,11117,2461xm950,2481l932,2481,928,2461,946,2461,950,2481xm11109,2481l11092,2481,11096,2461,11113,2461,11109,2481xm964,2501l941,2501,937,2481,955,2481,964,2501xm11101,2501l11078,2501,11087,2481,11105,2481,11101,2501xm1036,2601l1011,2601,997,2581,984,2561,972,2541,961,2521,951,2501,964,2501,974,2521,974,2521,985,2541,985,2541,997,2561,1009,2561,1022,2581,1022,2581,1036,2601xm11031,2601l11006,2601,11020,2581,11020,2581,11033,2561,11045,2561,11057,2541,11057,2541,11068,2521,11068,2521,11078,2501,11091,2501,11081,2521,11070,2541,11058,2561,11045,2581,11031,2601xm1081,2641l1056,2641,1040,2621,1025,2601,1036,2601,1050,2621,1065,2621,1081,2641xm10986,2641l10961,2641,10977,2621,10992,2621,11006,2601,11017,2601,11002,2621,10986,2641xm1150,2681l1107,2681,1089,2661,1072,2641,1097,2641,1115,2661,1132,2661,1150,2681xm10935,2681l10892,2681,10910,2661,10927,2661,10945,2641,10970,2641,10953,2661,10935,2681xm1178,2701l1143,2701,1125,2681,1168,2681,1178,2701xm10899,2701l10864,2701,10874,2681,10917,2681,10899,2701xm1247,2721l1192,2721,1182,2701,1237,2701,1247,2721xm10850,2721l10795,2721,10805,2701,10860,2701,10850,2721xm10777,2741l1265,2741,1254,2721,10788,2721,10777,2741xe">
              <v:path arrowok="t"/>
              <v:fill on="t" focussize="0,0"/>
              <v:stroke on="f"/>
              <v:imagedata o:title=""/>
              <o:lock v:ext="edit"/>
            </v:shape>
            <v:shape id="_x0000_s1028" o:spid="_x0000_s1028" o:spt="202" type="#_x0000_t202" style="position:absolute;left:898;top:180;height:2560;width:1024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3" w:line="290" w:lineRule="auto"/>
                      <w:ind w:left="181" w:right="170" w:firstLine="559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2019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年以来，在房地产融资大幅收紧、棚改货币化大幅下降的背景下，房</w:t>
                    </w:r>
                    <w:r>
                      <w:rPr>
                        <w:b/>
                        <w:spacing w:val="-16"/>
                        <w:sz w:val="28"/>
                      </w:rPr>
                      <w:t>地产市场降温趋势明显，行业分化加剧，市场竞争更加激烈，销售难度直线攀升。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超 </w:t>
                    </w:r>
                    <w:r>
                      <w:rPr>
                        <w:b/>
                        <w:sz w:val="28"/>
                      </w:rPr>
                      <w:t>400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家房企宣告破产，多家房企业已陷入进退两难的营销困局，从产品模仿， </w:t>
                    </w:r>
                    <w:r>
                      <w:rPr>
                        <w:b/>
                        <w:spacing w:val="-16"/>
                        <w:sz w:val="28"/>
                      </w:rPr>
                      <w:t>到价格跟随，再到渠道复制，传统的营销手段与经验，在同质化竞争中疲软不堪。</w:t>
                    </w:r>
                  </w:p>
                </w:txbxContent>
              </v:textbox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1858645</wp:posOffset>
            </wp:positionV>
            <wp:extent cx="6289675" cy="268224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781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b w:val="0"/>
          <w:sz w:val="10"/>
        </w:rPr>
      </w:pPr>
    </w:p>
    <w:p>
      <w:pPr>
        <w:pStyle w:val="3"/>
        <w:spacing w:before="9"/>
        <w:rPr>
          <w:rFonts w:ascii="Times New Roman"/>
          <w:b w:val="0"/>
          <w:sz w:val="19"/>
        </w:rPr>
      </w:pPr>
    </w:p>
    <w:p>
      <w:pPr>
        <w:pStyle w:val="3"/>
        <w:spacing w:before="38" w:line="338" w:lineRule="auto"/>
        <w:ind w:left="520" w:right="325" w:firstLine="480"/>
        <w:jc w:val="right"/>
      </w:pPr>
      <w:r>
        <w:rPr>
          <w:spacing w:val="-5"/>
        </w:rPr>
        <w:t>如何在逆境中实现营销突破与业绩稳定增长，是房企当前工作的重中之重，而这一力挽狂澜的重任毋庸置疑将落在</w:t>
      </w:r>
      <w:r>
        <w:rPr>
          <w:color w:val="1F487C"/>
          <w:spacing w:val="-5"/>
        </w:rPr>
        <w:t>地产营销总</w:t>
      </w:r>
      <w:r>
        <w:rPr>
          <w:spacing w:val="-11"/>
        </w:rPr>
        <w:t>的肩上。经济下行、调控稳定、城市轮动、融资收紧、市</w:t>
      </w:r>
      <w:r>
        <w:rPr>
          <w:spacing w:val="-12"/>
        </w:rPr>
        <w:t>场乏力、行业分化、竞争激烈……诸多因素导致房企愈加依赖销售回款来补充资金链求得生存</w:t>
      </w:r>
      <w:r>
        <w:rPr>
          <w:spacing w:val="-11"/>
        </w:rPr>
        <w:t>和发展，这一严峻形势将对地产营销总监能力的要求越来越高。然而，地产营销总是否真正能</w:t>
      </w:r>
      <w:r>
        <w:rPr>
          <w:spacing w:val="-12"/>
        </w:rPr>
        <w:t>够挺身而出，独挡一面，并率领营销战队在残酷的市场激战中决胜千里，势将决定房企命运。</w:t>
      </w:r>
      <w:r>
        <w:rPr>
          <w:spacing w:val="-7"/>
        </w:rPr>
        <w:t>基于此背景下，高景亚太以北京大学房地产研究课题组作为学术支持，在宏观经济、政策</w:t>
      </w:r>
    </w:p>
    <w:p>
      <w:pPr>
        <w:pStyle w:val="3"/>
        <w:spacing w:before="1" w:line="338" w:lineRule="auto"/>
        <w:ind w:left="520" w:right="417"/>
        <w:jc w:val="both"/>
      </w:pPr>
      <w:r>
        <w:rPr>
          <w:spacing w:val="-10"/>
        </w:rPr>
        <w:t>趋势、行业市场及标杆房企营销战略与管理体系深度研究的基础上，结合房地产行业发展趋势</w:t>
      </w:r>
      <w:r>
        <w:rPr>
          <w:spacing w:val="-7"/>
        </w:rPr>
        <w:t>及房企对营销总的能力要求，重磅推出地产营销总实战研修班，力求为房企培养出一批卓越的</w:t>
      </w:r>
      <w:r>
        <w:t>营销总监人才！</w:t>
      </w:r>
    </w:p>
    <w:p>
      <w:pPr>
        <w:spacing w:after="0" w:line="338" w:lineRule="auto"/>
        <w:jc w:val="both"/>
        <w:sectPr>
          <w:pgSz w:w="11910" w:h="16840"/>
          <w:pgMar w:top="460" w:right="660" w:bottom="280" w:left="560" w:header="720" w:footer="720" w:gutter="0"/>
          <w:cols w:space="720" w:num="1"/>
        </w:sectPr>
      </w:pPr>
    </w:p>
    <w:p>
      <w:pPr>
        <w:pStyle w:val="3"/>
        <w:ind w:left="263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057400" cy="6731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</w:p>
    <w:p>
      <w:pPr>
        <w:pStyle w:val="3"/>
        <w:spacing w:before="14"/>
        <w:rPr>
          <w:sz w:val="14"/>
        </w:rPr>
      </w:pPr>
    </w:p>
    <w:p>
      <w:pPr>
        <w:pStyle w:val="2"/>
        <w:spacing w:before="15"/>
        <w:ind w:left="976"/>
      </w:pPr>
      <w:r>
        <w:rPr>
          <w:color w:val="1F487C"/>
        </w:rPr>
        <w:t>地产营销总监角色认知模型</w:t>
      </w:r>
    </w:p>
    <w:p>
      <w:pPr>
        <w:pStyle w:val="3"/>
        <w:spacing w:before="5"/>
        <w:rPr>
          <w:sz w:val="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1433830</wp:posOffset>
            </wp:positionH>
            <wp:positionV relativeFrom="paragraph">
              <wp:posOffset>109855</wp:posOffset>
            </wp:positionV>
            <wp:extent cx="4461510" cy="28162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762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7"/>
        <w:ind w:left="520" w:right="0" w:firstLine="0"/>
        <w:jc w:val="left"/>
        <w:rPr>
          <w:b/>
          <w:sz w:val="28"/>
        </w:rPr>
      </w:pPr>
      <w:r>
        <w:rPr>
          <w:b/>
          <w:color w:val="1F487C"/>
          <w:sz w:val="28"/>
        </w:rPr>
        <w:t>基于对房地产新形势的理解与房地产营销总监的角色认知，本项目培养目标：</w:t>
      </w:r>
    </w:p>
    <w:p>
      <w:pPr>
        <w:spacing w:before="108"/>
        <w:ind w:left="520" w:right="0" w:firstLine="0"/>
        <w:jc w:val="left"/>
        <w:rPr>
          <w:b/>
          <w:sz w:val="28"/>
        </w:rPr>
      </w:pPr>
      <w:r>
        <w:rPr>
          <w:rFonts w:ascii="Arial" w:hAnsi="Arial" w:eastAsia="Arial"/>
          <w:color w:val="1F487C"/>
          <w:w w:val="115"/>
          <w:sz w:val="28"/>
        </w:rPr>
        <w:t xml:space="preserve"> </w:t>
      </w:r>
      <w:r>
        <w:rPr>
          <w:b/>
          <w:color w:val="1F487C"/>
          <w:spacing w:val="-2"/>
          <w:w w:val="105"/>
          <w:sz w:val="28"/>
          <w:u w:val="single" w:color="1F487C"/>
        </w:rPr>
        <w:t>精通战略</w:t>
      </w:r>
    </w:p>
    <w:p>
      <w:pPr>
        <w:pStyle w:val="3"/>
        <w:spacing w:before="85" w:line="206" w:lineRule="auto"/>
        <w:ind w:left="940" w:right="387"/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4325620</wp:posOffset>
            </wp:positionH>
            <wp:positionV relativeFrom="paragraph">
              <wp:posOffset>477520</wp:posOffset>
            </wp:positionV>
            <wp:extent cx="2566035" cy="320675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241" cy="320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卓越营销总要全面、客观的认识、了解整个行业的格局，并能在错综复杂、瞬息万变的市场中发现和把握市场的基本规律以及行业发展</w:t>
      </w:r>
    </w:p>
    <w:p>
      <w:pPr>
        <w:pStyle w:val="3"/>
        <w:spacing w:line="206" w:lineRule="auto"/>
        <w:ind w:left="940" w:right="4705"/>
        <w:jc w:val="both"/>
      </w:pPr>
      <w:r>
        <w:t>趋势，要具备战略理解能力与阅读老板的能力， 对公司的业绩目标直接负责，带领团队为战略目标实现保驾护航。</w:t>
      </w:r>
    </w:p>
    <w:p>
      <w:pPr>
        <w:spacing w:before="21"/>
        <w:ind w:left="520" w:right="0" w:firstLine="0"/>
        <w:jc w:val="both"/>
        <w:rPr>
          <w:b/>
          <w:sz w:val="28"/>
        </w:rPr>
      </w:pPr>
      <w:r>
        <w:rPr>
          <w:rFonts w:ascii="Arial" w:hAnsi="Arial" w:eastAsia="Arial"/>
          <w:color w:val="1F487C"/>
          <w:w w:val="115"/>
          <w:sz w:val="28"/>
        </w:rPr>
        <w:t xml:space="preserve"> </w:t>
      </w:r>
      <w:r>
        <w:rPr>
          <w:b/>
          <w:color w:val="1F487C"/>
          <w:spacing w:val="-2"/>
          <w:w w:val="105"/>
          <w:sz w:val="28"/>
          <w:u w:val="single" w:color="1F487C"/>
        </w:rPr>
        <w:t>专业过硬</w:t>
      </w:r>
    </w:p>
    <w:p>
      <w:pPr>
        <w:pStyle w:val="3"/>
        <w:spacing w:before="85" w:line="206" w:lineRule="auto"/>
        <w:ind w:left="940" w:right="4705"/>
        <w:jc w:val="both"/>
      </w:pPr>
      <w:r>
        <w:t>卓越营销总要具备过硬的专业技能，精于市场、产品、系统操盘、销售各个环节的专业知识和职能部门协同共进。</w:t>
      </w:r>
    </w:p>
    <w:p>
      <w:pPr>
        <w:spacing w:before="22"/>
        <w:ind w:left="520" w:right="0" w:firstLine="0"/>
        <w:jc w:val="both"/>
        <w:rPr>
          <w:b/>
          <w:sz w:val="28"/>
        </w:rPr>
      </w:pPr>
      <w:r>
        <w:rPr>
          <w:rFonts w:ascii="Arial" w:hAnsi="Arial" w:eastAsia="Arial"/>
          <w:color w:val="1F487C"/>
          <w:w w:val="115"/>
          <w:sz w:val="28"/>
        </w:rPr>
        <w:t xml:space="preserve"> </w:t>
      </w:r>
      <w:r>
        <w:rPr>
          <w:b/>
          <w:color w:val="1F487C"/>
          <w:spacing w:val="-2"/>
          <w:w w:val="105"/>
          <w:sz w:val="28"/>
          <w:u w:val="single" w:color="1F487C"/>
        </w:rPr>
        <w:t>骁勇善战</w:t>
      </w:r>
    </w:p>
    <w:p>
      <w:pPr>
        <w:pStyle w:val="3"/>
        <w:spacing w:before="85" w:line="206" w:lineRule="auto"/>
        <w:ind w:left="940" w:right="4735"/>
        <w:jc w:val="both"/>
      </w:pPr>
      <w:r>
        <w:rPr>
          <w:spacing w:val="-3"/>
        </w:rPr>
        <w:t>卓越营销总要具备优秀的领导和管理能力，有强烈目标感和使命必达的信心与决心，善于发现并</w:t>
      </w:r>
      <w:r>
        <w:rPr>
          <w:spacing w:val="-5"/>
        </w:rPr>
        <w:t>解决关键问题，不畏困难与挫折，以独特的影响</w:t>
      </w:r>
      <w:r>
        <w:rPr>
          <w:spacing w:val="-13"/>
        </w:rPr>
        <w:t>力和决断力带领、指导团队英勇作战、所向披靡</w:t>
      </w:r>
    </w:p>
    <w:p>
      <w:pPr>
        <w:spacing w:after="0" w:line="206" w:lineRule="auto"/>
        <w:jc w:val="both"/>
        <w:sectPr>
          <w:pgSz w:w="11910" w:h="16840"/>
          <w:pgMar w:top="1240" w:right="660" w:bottom="280" w:left="560" w:header="720" w:footer="720" w:gutter="0"/>
          <w:cols w:space="720" w:num="1"/>
        </w:sectPr>
      </w:pPr>
    </w:p>
    <w:p>
      <w:pPr>
        <w:pStyle w:val="3"/>
        <w:ind w:left="53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057400" cy="6731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14"/>
        </w:rPr>
      </w:pPr>
    </w:p>
    <w:p>
      <w:pPr>
        <w:pStyle w:val="2"/>
        <w:spacing w:before="16"/>
      </w:pPr>
      <w:r>
        <w:rPr>
          <w:color w:val="1F487C"/>
        </w:rPr>
        <w:t>基于营销总监胜任能力的课程设置模型</w:t>
      </w:r>
    </w:p>
    <w:p>
      <w:pPr>
        <w:pStyle w:val="3"/>
        <w:spacing w:before="1"/>
        <w:rPr>
          <w:sz w:val="2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894715</wp:posOffset>
            </wp:positionH>
            <wp:positionV relativeFrom="paragraph">
              <wp:posOffset>364490</wp:posOffset>
            </wp:positionV>
            <wp:extent cx="5418455" cy="353441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753" cy="353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6"/>
        <w:rPr>
          <w:sz w:val="26"/>
        </w:rPr>
      </w:pPr>
    </w:p>
    <w:p>
      <w:pPr>
        <w:pStyle w:val="3"/>
        <w:spacing w:before="38" w:line="338" w:lineRule="auto"/>
        <w:ind w:left="520" w:right="417" w:firstLine="480"/>
        <w:jc w:val="both"/>
      </w:pPr>
      <w:r>
        <w:rPr>
          <w:spacing w:val="-9"/>
        </w:rPr>
        <w:t>“基于能力”的营销总监培养是北京大学房地产研究课题组在宏观经济、政策趋势、行业</w:t>
      </w:r>
      <w:r>
        <w:rPr>
          <w:spacing w:val="-5"/>
        </w:rPr>
        <w:t>市场及标杆房企营销战略与管理体系深度研究的基础上，形成的房地产横盘时代围绕战略目标</w:t>
      </w:r>
      <w:r>
        <w:t>实现和销售业绩突围所需营销总监系统能力提升的最佳培养模式。</w:t>
      </w:r>
    </w:p>
    <w:p>
      <w:pPr>
        <w:spacing w:after="0" w:line="338" w:lineRule="auto"/>
        <w:jc w:val="both"/>
        <w:sectPr>
          <w:pgSz w:w="11910" w:h="16840"/>
          <w:pgMar w:top="1520" w:right="660" w:bottom="280" w:left="560" w:header="720" w:footer="720" w:gutter="0"/>
          <w:cols w:space="720" w:num="1"/>
        </w:sectPr>
      </w:pPr>
    </w:p>
    <w:p>
      <w:pPr>
        <w:pStyle w:val="2"/>
        <w:spacing w:line="587" w:lineRule="exact"/>
      </w:pPr>
      <w:r>
        <w:rPr>
          <w:color w:val="1F487C"/>
        </w:rPr>
        <w:t>基于营销总监胜任能力的课程大纲</w:t>
      </w:r>
    </w:p>
    <w:p>
      <w:pPr>
        <w:pStyle w:val="3"/>
        <w:rPr>
          <w:sz w:val="20"/>
        </w:rPr>
      </w:pPr>
    </w:p>
    <w:p>
      <w:pPr>
        <w:pStyle w:val="3"/>
        <w:spacing w:before="16"/>
        <w:rPr>
          <w:sz w:val="14"/>
        </w:rPr>
      </w:pPr>
    </w:p>
    <w:tbl>
      <w:tblPr>
        <w:tblStyle w:val="4"/>
        <w:tblW w:w="0" w:type="auto"/>
        <w:tblInd w:w="5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1"/>
        <w:gridCol w:w="90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654" w:type="dxa"/>
            <w:gridSpan w:val="2"/>
            <w:shd w:val="clear" w:color="auto" w:fill="1F487C"/>
          </w:tcPr>
          <w:p>
            <w:pPr>
              <w:pStyle w:val="9"/>
              <w:spacing w:before="17" w:line="586" w:lineRule="exact"/>
              <w:ind w:left="1284" w:right="127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领导力提升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9" w:hRule="atLeast"/>
        </w:trPr>
        <w:tc>
          <w:tcPr>
            <w:tcW w:w="9654" w:type="dxa"/>
            <w:gridSpan w:val="2"/>
          </w:tcPr>
          <w:p>
            <w:pPr>
              <w:pStyle w:val="9"/>
              <w:spacing w:before="13"/>
              <w:ind w:left="0"/>
              <w:rPr>
                <w:b/>
                <w:sz w:val="5"/>
              </w:rPr>
            </w:pPr>
          </w:p>
          <w:p>
            <w:pPr>
              <w:pStyle w:val="9"/>
              <w:spacing w:before="0"/>
              <w:ind w:left="1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34535" cy="277939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169" cy="277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0" w:hRule="atLeast"/>
        </w:trPr>
        <w:tc>
          <w:tcPr>
            <w:tcW w:w="611" w:type="dxa"/>
          </w:tcPr>
          <w:p>
            <w:pPr>
              <w:pStyle w:val="9"/>
              <w:spacing w:before="79" w:line="290" w:lineRule="auto"/>
              <w:ind w:right="210"/>
              <w:jc w:val="both"/>
              <w:rPr>
                <w:b/>
                <w:sz w:val="28"/>
              </w:rPr>
            </w:pPr>
            <w:bookmarkStart w:id="0" w:name="营销总监领导力课程内容"/>
            <w:bookmarkEnd w:id="0"/>
            <w:r>
              <w:rPr>
                <w:b/>
                <w:sz w:val="28"/>
              </w:rPr>
              <w:t>营销总监领导力课程内</w:t>
            </w:r>
          </w:p>
          <w:p>
            <w:pPr>
              <w:pStyle w:val="9"/>
              <w:spacing w:before="0" w:line="511" w:lineRule="exac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容</w:t>
            </w:r>
          </w:p>
        </w:tc>
        <w:tc>
          <w:tcPr>
            <w:tcW w:w="9043" w:type="dxa"/>
          </w:tcPr>
          <w:p>
            <w:pPr>
              <w:pStyle w:val="9"/>
              <w:spacing w:before="91" w:line="468" w:lineRule="auto"/>
              <w:ind w:left="106" w:right="381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第一部分：</w:t>
            </w:r>
            <w:r>
              <w:rPr>
                <w:b/>
                <w:sz w:val="24"/>
              </w:rPr>
              <w:t>战略思维---用一个支点翘起领导力</w:t>
            </w:r>
            <w:r>
              <w:rPr>
                <w:b/>
                <w:color w:val="1F487C"/>
                <w:sz w:val="24"/>
              </w:rPr>
              <w:t xml:space="preserve"> 第二部分：</w:t>
            </w:r>
            <w:r>
              <w:rPr>
                <w:b/>
                <w:spacing w:val="-1"/>
                <w:sz w:val="24"/>
              </w:rPr>
              <w:t>文化挑战---如何跳出领导力文化陷阱</w:t>
            </w:r>
          </w:p>
          <w:p>
            <w:pPr>
              <w:pStyle w:val="9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第三部分：</w:t>
            </w:r>
            <w:r>
              <w:rPr>
                <w:b/>
                <w:sz w:val="24"/>
              </w:rPr>
              <w:t>团队打造铁律---掌握业绩倍增的方法论</w:t>
            </w:r>
          </w:p>
          <w:p>
            <w:pPr>
              <w:pStyle w:val="9"/>
              <w:spacing w:before="16"/>
              <w:ind w:left="0"/>
              <w:rPr>
                <w:b/>
                <w:sz w:val="22"/>
              </w:rPr>
            </w:pPr>
          </w:p>
          <w:p>
            <w:pPr>
              <w:pStyle w:val="9"/>
              <w:spacing w:before="0"/>
              <w:ind w:left="106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第四部分：</w:t>
            </w:r>
            <w:r>
              <w:rPr>
                <w:b/>
                <w:sz w:val="24"/>
              </w:rPr>
              <w:t>管理力升维---跨入优秀领导者行列之三大管理入口</w:t>
            </w:r>
          </w:p>
          <w:p>
            <w:pPr>
              <w:pStyle w:val="9"/>
              <w:spacing w:before="16"/>
              <w:ind w:left="0"/>
              <w:rPr>
                <w:b/>
                <w:sz w:val="22"/>
              </w:rPr>
            </w:pPr>
          </w:p>
          <w:p>
            <w:pPr>
              <w:pStyle w:val="9"/>
              <w:spacing w:before="0" w:line="468" w:lineRule="auto"/>
              <w:ind w:left="106" w:right="165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第五部分：</w:t>
            </w:r>
            <w:r>
              <w:rPr>
                <w:b/>
                <w:sz w:val="24"/>
              </w:rPr>
              <w:t>执行力密码---领导者须掌握的团队执行力体系模型与应用</w:t>
            </w:r>
            <w:r>
              <w:rPr>
                <w:b/>
                <w:color w:val="1F487C"/>
                <w:sz w:val="24"/>
              </w:rPr>
              <w:t>第六部分：</w:t>
            </w:r>
            <w:r>
              <w:rPr>
                <w:b/>
                <w:sz w:val="24"/>
              </w:rPr>
              <w:t>决策力依据---探寻缺乏客户影响力的核心根源</w:t>
            </w:r>
          </w:p>
          <w:p>
            <w:pPr>
              <w:pStyle w:val="9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第七部分：</w:t>
            </w:r>
            <w:r>
              <w:rPr>
                <w:b/>
                <w:sz w:val="24"/>
              </w:rPr>
              <w:t>领导力解码---多维管理力打造训练</w:t>
            </w:r>
          </w:p>
          <w:p>
            <w:pPr>
              <w:pStyle w:val="9"/>
              <w:spacing w:before="15"/>
              <w:ind w:left="0"/>
              <w:rPr>
                <w:b/>
                <w:sz w:val="22"/>
              </w:rPr>
            </w:pPr>
          </w:p>
          <w:p>
            <w:pPr>
              <w:pStyle w:val="9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第八部分：</w:t>
            </w:r>
            <w:r>
              <w:rPr>
                <w:b/>
                <w:sz w:val="24"/>
              </w:rPr>
              <w:t>沟通力提升---多维管理力打造训练之谈判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40" w:right="660" w:bottom="280" w:left="560" w:header="720" w:footer="720" w:gutter="0"/>
          <w:cols w:space="720" w:num="1"/>
        </w:sectPr>
      </w:pPr>
    </w:p>
    <w:tbl>
      <w:tblPr>
        <w:tblStyle w:val="4"/>
        <w:tblW w:w="0" w:type="auto"/>
        <w:tblInd w:w="5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1"/>
        <w:gridCol w:w="4366"/>
        <w:gridCol w:w="4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7" w:hRule="atLeast"/>
        </w:trPr>
        <w:tc>
          <w:tcPr>
            <w:tcW w:w="611" w:type="dxa"/>
          </w:tcPr>
          <w:p>
            <w:pPr>
              <w:pStyle w:val="9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9043" w:type="dxa"/>
            <w:gridSpan w:val="2"/>
          </w:tcPr>
          <w:p>
            <w:pPr>
              <w:pStyle w:val="9"/>
              <w:spacing w:before="89"/>
              <w:ind w:left="106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第九部分：</w:t>
            </w:r>
            <w:r>
              <w:rPr>
                <w:b/>
                <w:sz w:val="24"/>
              </w:rPr>
              <w:t>感召力形成---多维管理力打造之感召五步演练</w:t>
            </w:r>
          </w:p>
          <w:p>
            <w:pPr>
              <w:pStyle w:val="9"/>
              <w:spacing w:before="16"/>
              <w:ind w:left="0"/>
              <w:rPr>
                <w:b/>
                <w:sz w:val="22"/>
              </w:rPr>
            </w:pPr>
          </w:p>
          <w:p>
            <w:pPr>
              <w:pStyle w:val="9"/>
              <w:spacing w:before="0"/>
              <w:ind w:left="106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第十部分：</w:t>
            </w:r>
            <w:r>
              <w:rPr>
                <w:b/>
                <w:sz w:val="24"/>
              </w:rPr>
              <w:t>领导力操作实践---电销团队的快乐管理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654" w:type="dxa"/>
            <w:gridSpan w:val="3"/>
            <w:shd w:val="clear" w:color="auto" w:fill="1F487C"/>
          </w:tcPr>
          <w:p>
            <w:pPr>
              <w:pStyle w:val="9"/>
              <w:spacing w:before="17" w:line="587" w:lineRule="exact"/>
              <w:ind w:left="1284" w:right="1276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专业力提升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0" w:hRule="atLeast"/>
        </w:trPr>
        <w:tc>
          <w:tcPr>
            <w:tcW w:w="9654" w:type="dxa"/>
            <w:gridSpan w:val="3"/>
          </w:tcPr>
          <w:p>
            <w:pPr>
              <w:pStyle w:val="9"/>
              <w:spacing w:before="8"/>
              <w:ind w:left="0"/>
              <w:rPr>
                <w:b/>
                <w:sz w:val="7"/>
              </w:rPr>
            </w:pPr>
          </w:p>
          <w:p>
            <w:pPr>
              <w:pStyle w:val="9"/>
              <w:spacing w:before="0"/>
              <w:ind w:left="21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69310" cy="335534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576" cy="335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977" w:type="dxa"/>
            <w:gridSpan w:val="2"/>
            <w:tcBorders>
              <w:bottom w:val="nil"/>
            </w:tcBorders>
          </w:tcPr>
          <w:p>
            <w:pPr>
              <w:pStyle w:val="9"/>
              <w:spacing w:before="108"/>
              <w:rPr>
                <w:b/>
                <w:sz w:val="22"/>
              </w:rPr>
            </w:pPr>
            <w:r>
              <w:rPr>
                <w:b/>
                <w:color w:val="1F487C"/>
                <w:sz w:val="22"/>
              </w:rPr>
              <w:t>客研力——项目分析与科学决策的根基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9"/>
              <w:spacing w:before="108"/>
              <w:ind w:left="108"/>
              <w:rPr>
                <w:b/>
                <w:sz w:val="22"/>
              </w:rPr>
            </w:pPr>
            <w:r>
              <w:rPr>
                <w:b/>
                <w:color w:val="1F487C"/>
                <w:sz w:val="22"/>
              </w:rPr>
              <w:t>定位力——精准项目定位的逻辑与方法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gridSpan w:val="2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宏观经济形势与调控政策分析与研判；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项目定位的基本逻辑及流程；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gridSpan w:val="2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区域分析与城市研究 PIE 模型建立与应用；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城市地图模型及应用；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gridSpan w:val="2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土地属性的六要素模型应用；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市场分析框架及市场机会挖掘；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gridSpan w:val="2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项目运营目标分析与核心问题界定；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客户价值需求曲线研究；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gridSpan w:val="2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市场研究工作体系及案例解析；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动态土地分析；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gridSpan w:val="2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客户DNA 模型建立及定性研究方法；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客户地图的绘制与应用；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gridSpan w:val="2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不同城市客户敏感点分析；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竞争格局：不同项目市场占位及价值表现；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gridSpan w:val="2"/>
            <w:tcBorders>
              <w:top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客户细分与客群需求的差异性分析</w:t>
            </w: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既定细分市场中的竞争策略与价格策略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20" w:right="660" w:bottom="280" w:left="560" w:header="720" w:footer="720" w:gutter="0"/>
          <w:cols w:space="720" w:num="1"/>
        </w:sectPr>
      </w:pPr>
    </w:p>
    <w:tbl>
      <w:tblPr>
        <w:tblStyle w:val="4"/>
        <w:tblW w:w="0" w:type="auto"/>
        <w:tblInd w:w="5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77"/>
        <w:gridCol w:w="4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color w:val="1F487C"/>
                <w:sz w:val="22"/>
              </w:rPr>
              <w:t>产品力——价值提升与竞争优势的利器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color w:val="1F487C"/>
                <w:sz w:val="22"/>
              </w:rPr>
              <w:t>策划力——从产品到商品的快速通道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营销价值思维下的产品定位；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营销策略大纲的推导逻辑；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基于市场竞争策略的户型配比；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目标客户传播元素提取及营销语言化；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产品价值的客户敏感点分析；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项目独特而清晰品牌 DNA 的建立与传播；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户型配比与户型附加值空间案例分析；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确立项目长期一致性推广原则和精神；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示范区“六觉六触点”模型与实践案例；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项目传播渠道和话语体系建立；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经营视角的产品策略解析；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项目核心价值体系与卖点梳理；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客户视角的产品定位与户型设计；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推广主题与产品形态的整合传播；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成本维度的产品适度创新</w:t>
            </w: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基于全程热销的价格策略解析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977" w:type="dxa"/>
            <w:tcBorders>
              <w:bottom w:val="nil"/>
            </w:tcBorders>
          </w:tcPr>
          <w:p>
            <w:pPr>
              <w:pStyle w:val="9"/>
              <w:spacing w:before="108"/>
              <w:rPr>
                <w:b/>
                <w:sz w:val="22"/>
              </w:rPr>
            </w:pPr>
            <w:r>
              <w:rPr>
                <w:b/>
                <w:color w:val="1F487C"/>
                <w:sz w:val="22"/>
              </w:rPr>
              <w:t>操盘力——系统化实战营销思维的建立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9"/>
              <w:spacing w:before="108"/>
              <w:ind w:left="108"/>
              <w:rPr>
                <w:b/>
                <w:sz w:val="22"/>
              </w:rPr>
            </w:pPr>
            <w:r>
              <w:rPr>
                <w:b/>
                <w:color w:val="1F487C"/>
                <w:sz w:val="22"/>
              </w:rPr>
              <w:t>拓客力——快速抢占市场份额的实战训练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地产营销操盘策略与关键点管控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大兵团拓客模式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项目推广思路制定及案例解析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精准拓客-圈层营销实操及案例分析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全盘价格制定/均价策略/一房一价策略/调价策略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圈层营销推广策略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开盘造势及有效蓄客实战训练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如何选择渠道（优势分类）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完美开盘与火爆热销的秘籍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三四线城市如何开展渠道工作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持续热销的营销策略解码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房地产渠道拓客手法与技巧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尾盘销售策略与清盘行动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房地产渠道与策划的结合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4977" w:type="dxa"/>
            <w:tcBorders>
              <w:top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横盘时代营销决策新逻辑、产品去化新思维</w:t>
            </w: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渠道的过程管控与结果管控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977" w:type="dxa"/>
            <w:tcBorders>
              <w:bottom w:val="nil"/>
            </w:tcBorders>
          </w:tcPr>
          <w:p>
            <w:pPr>
              <w:pStyle w:val="9"/>
              <w:spacing w:before="108"/>
              <w:rPr>
                <w:b/>
                <w:sz w:val="22"/>
              </w:rPr>
            </w:pPr>
            <w:r>
              <w:rPr>
                <w:b/>
                <w:color w:val="1F487C"/>
                <w:sz w:val="22"/>
              </w:rPr>
              <w:t>销售力——业绩提升与目标实现的精要解码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9"/>
              <w:spacing w:before="108"/>
              <w:ind w:left="108"/>
              <w:rPr>
                <w:b/>
                <w:sz w:val="22"/>
              </w:rPr>
            </w:pPr>
            <w:r>
              <w:rPr>
                <w:b/>
                <w:color w:val="1F487C"/>
                <w:sz w:val="22"/>
              </w:rPr>
              <w:t>爆破力——疑难类型项目营销突破及销售逻辑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现场销售转化率怎样提升？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滞销项目形成的原因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销售率值管理及营销四表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新时代创新营销实战心法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案场管理提升—神秘访客制度</w:t>
            </w: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投资类产品八大创新营销盘方法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20" w:right="660" w:bottom="280" w:left="560" w:header="720" w:footer="720" w:gutter="0"/>
          <w:cols w:space="720" w:num="1"/>
        </w:sectPr>
      </w:pPr>
    </w:p>
    <w:tbl>
      <w:tblPr>
        <w:tblStyle w:val="4"/>
        <w:tblW w:w="0" w:type="auto"/>
        <w:tblInd w:w="5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77"/>
        <w:gridCol w:w="4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成交率低的高库存原因剖析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办公物业的正确销售逻辑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案场管理制度、销售培训、销售策略培训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商业（商铺）销售策略与方法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售楼处的选择及布局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车位销售策略与方案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  <w:tcBorders>
              <w:top w:val="nil"/>
              <w:bottom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开盘组织技巧及现场控制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酒店式公寓销售策略与方法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  <w:tcBorders>
              <w:top w:val="nil"/>
            </w:tcBorders>
          </w:tcPr>
          <w:p>
            <w:pPr>
              <w:pStyle w:val="9"/>
              <w:rPr>
                <w:b/>
                <w:sz w:val="22"/>
              </w:rPr>
            </w:pPr>
            <w:r>
              <w:rPr>
                <w:b/>
                <w:sz w:val="22"/>
              </w:rPr>
              <w:t>案场精细化执行管理</w:t>
            </w: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其它疑难类型项目营销战术剖析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654" w:type="dxa"/>
            <w:gridSpan w:val="2"/>
            <w:shd w:val="clear" w:color="auto" w:fill="1F487C"/>
          </w:tcPr>
          <w:p>
            <w:pPr>
              <w:pStyle w:val="9"/>
              <w:spacing w:before="17" w:line="587" w:lineRule="exact"/>
              <w:ind w:left="1284" w:right="1279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营销总监未来之路（跨专业学习可选修二门课程）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</w:tcPr>
          <w:p>
            <w:pPr>
              <w:pStyle w:val="9"/>
              <w:spacing w:before="91"/>
              <w:ind w:left="1748" w:right="1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地产金融</w:t>
            </w:r>
          </w:p>
        </w:tc>
        <w:tc>
          <w:tcPr>
            <w:tcW w:w="4677" w:type="dxa"/>
          </w:tcPr>
          <w:p>
            <w:pPr>
              <w:pStyle w:val="9"/>
              <w:spacing w:before="91"/>
              <w:ind w:left="1838" w:right="1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土地拓展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977" w:type="dxa"/>
          </w:tcPr>
          <w:p>
            <w:pPr>
              <w:pStyle w:val="9"/>
              <w:spacing w:before="91"/>
              <w:ind w:left="1748" w:right="1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设计研发</w:t>
            </w:r>
          </w:p>
        </w:tc>
        <w:tc>
          <w:tcPr>
            <w:tcW w:w="4677" w:type="dxa"/>
          </w:tcPr>
          <w:p>
            <w:pPr>
              <w:pStyle w:val="9"/>
              <w:spacing w:before="91"/>
              <w:ind w:left="1838" w:right="1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成本管理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</w:tcPr>
          <w:p>
            <w:pPr>
              <w:pStyle w:val="9"/>
              <w:spacing w:before="90"/>
              <w:ind w:left="1748" w:right="1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招标采购</w:t>
            </w:r>
          </w:p>
        </w:tc>
        <w:tc>
          <w:tcPr>
            <w:tcW w:w="4677" w:type="dxa"/>
          </w:tcPr>
          <w:p>
            <w:pPr>
              <w:pStyle w:val="9"/>
              <w:spacing w:before="90"/>
              <w:ind w:left="1838" w:right="1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工程管理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</w:tcPr>
          <w:p>
            <w:pPr>
              <w:pStyle w:val="9"/>
              <w:spacing w:before="90"/>
              <w:ind w:left="1748" w:right="1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商业运营</w:t>
            </w:r>
          </w:p>
        </w:tc>
        <w:tc>
          <w:tcPr>
            <w:tcW w:w="4677" w:type="dxa"/>
          </w:tcPr>
          <w:p>
            <w:pPr>
              <w:pStyle w:val="9"/>
              <w:spacing w:before="90"/>
              <w:ind w:left="1838" w:right="1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物业管理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</w:tcPr>
          <w:p>
            <w:pPr>
              <w:pStyle w:val="9"/>
              <w:spacing w:before="89"/>
              <w:ind w:left="1748" w:right="1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人力资源管理</w:t>
            </w:r>
          </w:p>
        </w:tc>
        <w:tc>
          <w:tcPr>
            <w:tcW w:w="4677" w:type="dxa"/>
          </w:tcPr>
          <w:p>
            <w:pPr>
              <w:pStyle w:val="9"/>
              <w:spacing w:before="89"/>
              <w:ind w:left="1838" w:right="1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财务管理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977" w:type="dxa"/>
          </w:tcPr>
          <w:p>
            <w:pPr>
              <w:pStyle w:val="9"/>
              <w:spacing w:before="89"/>
              <w:ind w:left="1748" w:right="1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计划运营</w:t>
            </w:r>
          </w:p>
        </w:tc>
        <w:tc>
          <w:tcPr>
            <w:tcW w:w="4677" w:type="dxa"/>
          </w:tcPr>
          <w:p>
            <w:pPr>
              <w:pStyle w:val="9"/>
              <w:spacing w:before="89"/>
              <w:ind w:left="1838" w:right="1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项目管理</w:t>
            </w:r>
          </w:p>
        </w:tc>
      </w:tr>
    </w:tbl>
    <w:p>
      <w:pPr>
        <w:pStyle w:val="3"/>
        <w:spacing w:before="12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591185</wp:posOffset>
            </wp:positionH>
            <wp:positionV relativeFrom="paragraph">
              <wp:posOffset>278130</wp:posOffset>
            </wp:positionV>
            <wp:extent cx="2057400" cy="67373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9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723265</wp:posOffset>
            </wp:positionH>
            <wp:positionV relativeFrom="paragraph">
              <wp:posOffset>1068705</wp:posOffset>
            </wp:positionV>
            <wp:extent cx="6003290" cy="254000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057" cy="254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6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1420" w:right="660" w:bottom="280" w:left="560" w:header="720" w:footer="720" w:gutter="0"/>
          <w:cols w:space="720" w:num="1"/>
        </w:sectPr>
      </w:pPr>
    </w:p>
    <w:p>
      <w:pPr>
        <w:pStyle w:val="3"/>
        <w:ind w:left="55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057400" cy="67310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4"/>
        <w:rPr>
          <w:sz w:val="20"/>
        </w:rPr>
      </w:pPr>
    </w:p>
    <w:p>
      <w:pPr>
        <w:pStyle w:val="3"/>
        <w:spacing w:before="37" w:line="280" w:lineRule="auto"/>
        <w:ind w:left="940" w:right="1825"/>
      </w:pPr>
      <w:r>
        <w:t>全新角度分析房产行业发展趋势，打破传统观念，争取优胜，避免劣汰！ 建立标杆房企营销工作的逻辑与思路，可复制的标准化工作体系（工具</w:t>
      </w:r>
      <w:r>
        <w:rPr>
          <w:spacing w:val="-10"/>
        </w:rPr>
        <w:t xml:space="preserve">）； </w:t>
      </w:r>
      <w:r>
        <w:rPr>
          <w:spacing w:val="-1"/>
        </w:rPr>
        <w:t xml:space="preserve">建立精准有效的项目定位思路，前置营销动作，确保实现项目价值最大化； </w:t>
      </w:r>
      <w:r>
        <w:t>重点掌握策划定位、主题营销、营销计划的方法和原则。</w:t>
      </w:r>
    </w:p>
    <w:p>
      <w:pPr>
        <w:pStyle w:val="3"/>
        <w:spacing w:before="105"/>
        <w:ind w:left="940"/>
      </w:pPr>
      <w:r>
        <w:t>学习和掌握房地产营销创新营销的方法。</w:t>
      </w:r>
    </w:p>
    <w:p>
      <w:pPr>
        <w:pStyle w:val="3"/>
        <w:spacing w:before="7"/>
        <w:rPr>
          <w:sz w:val="2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694690</wp:posOffset>
            </wp:positionH>
            <wp:positionV relativeFrom="paragraph">
              <wp:posOffset>368935</wp:posOffset>
            </wp:positionV>
            <wp:extent cx="2057400" cy="67373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9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49" w:line="302" w:lineRule="auto"/>
        <w:ind w:left="520" w:right="6685"/>
      </w:pPr>
      <w:r>
        <w:t>董志勇：北京大学经济学院院长冯 科：北京大学经济研究所所长</w:t>
      </w:r>
    </w:p>
    <w:p>
      <w:pPr>
        <w:pStyle w:val="3"/>
        <w:spacing w:line="302" w:lineRule="auto"/>
        <w:ind w:left="520" w:right="2209"/>
      </w:pPr>
      <w:r>
        <w:t>杨壮：北京大学国家发展研究院 BiMBA 商学院联席院长，著名领导力专家秦 虹：住建部政策研究中心研究员</w:t>
      </w:r>
    </w:p>
    <w:p>
      <w:pPr>
        <w:pStyle w:val="3"/>
        <w:spacing w:line="441" w:lineRule="exact"/>
        <w:ind w:left="520"/>
      </w:pPr>
      <w:r>
        <w:t>陈 淮：建设部政策研究中心主任、中国城乡建设经济研究所所长</w:t>
      </w:r>
    </w:p>
    <w:p>
      <w:pPr>
        <w:pStyle w:val="3"/>
        <w:spacing w:before="109"/>
        <w:ind w:left="520"/>
      </w:pPr>
      <w:r>
        <w:t>李战军：中房研协首席研究员，上海易居房地产研究院发展研究所原所长</w:t>
      </w:r>
    </w:p>
    <w:p>
      <w:pPr>
        <w:pStyle w:val="3"/>
        <w:tabs>
          <w:tab w:val="left" w:pos="999"/>
        </w:tabs>
        <w:spacing w:before="114"/>
        <w:ind w:left="520"/>
      </w:pPr>
      <w:r>
        <w:t>何</w:t>
      </w:r>
      <w:r>
        <w:tab/>
      </w:r>
      <w:r>
        <w:t>欣：原碧桂园营销学院院长，原万达学院教学副总，原华润置地培训总监</w:t>
      </w:r>
    </w:p>
    <w:p>
      <w:pPr>
        <w:pStyle w:val="3"/>
        <w:tabs>
          <w:tab w:val="left" w:pos="999"/>
        </w:tabs>
        <w:spacing w:before="115" w:line="300" w:lineRule="auto"/>
        <w:ind w:left="520" w:right="1285"/>
      </w:pPr>
      <w:r>
        <w:t>王少鹏：知名上市地产集团核心高管，房地产行动学习专家，房地产分布式组织专</w:t>
      </w:r>
      <w:r>
        <w:rPr>
          <w:spacing w:val="-19"/>
        </w:rPr>
        <w:t>家</w:t>
      </w:r>
      <w:r>
        <w:t>林</w:t>
      </w:r>
      <w:r>
        <w:tab/>
      </w:r>
      <w:r>
        <w:t>山:</w:t>
      </w:r>
      <w:r>
        <w:rPr>
          <w:spacing w:val="46"/>
        </w:rPr>
        <w:t xml:space="preserve"> </w:t>
      </w:r>
      <w:r>
        <w:t>领导力专家，原绿地京津事业部培训负责人，锡恩高级管理顾问</w:t>
      </w:r>
    </w:p>
    <w:p>
      <w:pPr>
        <w:pStyle w:val="3"/>
        <w:tabs>
          <w:tab w:val="left" w:pos="999"/>
        </w:tabs>
        <w:spacing w:before="5" w:line="326" w:lineRule="auto"/>
        <w:ind w:left="520" w:right="1765"/>
      </w:pPr>
      <w:r>
        <w:t>孙晓冬：中国房地产行业营销一线操盘大师，中国房地产营销模式创新实战专</w:t>
      </w:r>
      <w:r>
        <w:rPr>
          <w:spacing w:val="-19"/>
        </w:rPr>
        <w:t>家</w:t>
      </w:r>
      <w:r>
        <w:t>王</w:t>
      </w:r>
      <w:r>
        <w:tab/>
      </w:r>
      <w:r>
        <w:t>敏：资深房地产全程营销实战专家，不可多得多年一线实操经验的实干家 王玺龙：龙湖地产营销践行者，实战派营销管理专家，地产营销培训师</w:t>
      </w:r>
    </w:p>
    <w:p>
      <w:pPr>
        <w:pStyle w:val="3"/>
        <w:tabs>
          <w:tab w:val="left" w:pos="999"/>
        </w:tabs>
        <w:spacing w:before="86"/>
        <w:ind w:left="520"/>
      </w:pPr>
      <w:r>
        <w:t>徐</w:t>
      </w:r>
      <w:r>
        <w:tab/>
      </w:r>
      <w:r>
        <w:t>清：房地产营销实战专家，现任职某标杆地产集团总部营销总监</w:t>
      </w:r>
    </w:p>
    <w:p>
      <w:pPr>
        <w:spacing w:after="0"/>
        <w:sectPr>
          <w:pgSz w:w="11910" w:h="16840"/>
          <w:pgMar w:top="1300" w:right="660" w:bottom="280" w:left="560" w:header="720" w:footer="720" w:gutter="0"/>
          <w:cols w:space="720" w:num="1"/>
        </w:sectPr>
      </w:pPr>
    </w:p>
    <w:p>
      <w:pPr>
        <w:pStyle w:val="3"/>
        <w:ind w:left="47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057400" cy="6731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4"/>
        <w:rPr>
          <w:sz w:val="29"/>
        </w:rPr>
      </w:pPr>
    </w:p>
    <w:p>
      <w:pPr>
        <w:pStyle w:val="8"/>
        <w:numPr>
          <w:ilvl w:val="0"/>
          <w:numId w:val="1"/>
        </w:numPr>
        <w:tabs>
          <w:tab w:val="left" w:pos="739"/>
        </w:tabs>
        <w:spacing w:before="37" w:after="0" w:line="240" w:lineRule="auto"/>
        <w:ind w:left="738" w:right="0" w:hanging="219"/>
        <w:jc w:val="left"/>
        <w:rPr>
          <w:b/>
          <w:sz w:val="24"/>
        </w:rPr>
      </w:pPr>
      <w:r>
        <w:rPr>
          <w:b/>
          <w:sz w:val="24"/>
        </w:rPr>
        <w:t>房地产企业营销总以上营销管理团队及营销策划经理、销售经理及储备经理</w:t>
      </w:r>
    </w:p>
    <w:p>
      <w:pPr>
        <w:pStyle w:val="8"/>
        <w:numPr>
          <w:ilvl w:val="0"/>
          <w:numId w:val="1"/>
        </w:numPr>
        <w:tabs>
          <w:tab w:val="left" w:pos="739"/>
        </w:tabs>
        <w:spacing w:before="115" w:after="0" w:line="240" w:lineRule="auto"/>
        <w:ind w:left="738" w:right="0" w:hanging="219"/>
        <w:jc w:val="left"/>
        <w:rPr>
          <w:b/>
          <w:sz w:val="24"/>
        </w:rPr>
      </w:pPr>
      <w:r>
        <w:rPr>
          <w:b/>
          <w:sz w:val="24"/>
        </w:rPr>
        <w:t>房地产营销团队、销售团队主管及以上人员；代理公司、渠道公司等营销管理层</w:t>
      </w:r>
    </w:p>
    <w:p>
      <w:pPr>
        <w:pStyle w:val="8"/>
        <w:numPr>
          <w:ilvl w:val="0"/>
          <w:numId w:val="1"/>
        </w:numPr>
        <w:tabs>
          <w:tab w:val="left" w:pos="739"/>
        </w:tabs>
        <w:spacing w:before="112" w:after="0" w:line="240" w:lineRule="auto"/>
        <w:ind w:left="738" w:right="0" w:hanging="219"/>
        <w:jc w:val="left"/>
        <w:rPr>
          <w:b/>
          <w:sz w:val="24"/>
        </w:rPr>
      </w:pPr>
      <w:r>
        <w:rPr>
          <w:b/>
          <w:sz w:val="24"/>
        </w:rPr>
        <w:t>房地产营销策划主任、经理及储备骨干管理层</w:t>
      </w:r>
    </w:p>
    <w:p>
      <w:pPr>
        <w:pStyle w:val="3"/>
        <w:spacing w:before="16"/>
        <w:rPr>
          <w:sz w:val="1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706755</wp:posOffset>
            </wp:positionH>
            <wp:positionV relativeFrom="paragraph">
              <wp:posOffset>257810</wp:posOffset>
            </wp:positionV>
            <wp:extent cx="2057400" cy="67373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7"/>
        <w:rPr>
          <w:sz w:val="21"/>
        </w:rPr>
      </w:pPr>
    </w:p>
    <w:p>
      <w:pPr>
        <w:pStyle w:val="3"/>
        <w:ind w:left="520"/>
      </w:pPr>
      <w:r>
        <w:t>学制：每 2 个月学习一次，8 次专业课程+2 次选修课程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6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706755</wp:posOffset>
            </wp:positionH>
            <wp:positionV relativeFrom="paragraph">
              <wp:posOffset>168910</wp:posOffset>
            </wp:positionV>
            <wp:extent cx="2057400" cy="673735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9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5"/>
        <w:rPr>
          <w:sz w:val="22"/>
        </w:rPr>
      </w:pPr>
    </w:p>
    <w:p>
      <w:pPr>
        <w:pStyle w:val="3"/>
        <w:spacing w:line="218" w:lineRule="auto"/>
        <w:ind w:left="520" w:right="415"/>
      </w:pPr>
      <w:r>
        <w:rPr>
          <w:spacing w:val="-6"/>
        </w:rPr>
        <w:t xml:space="preserve">学费：人民币 </w:t>
      </w:r>
      <w:r>
        <w:rPr>
          <w:color w:val="FF0000"/>
        </w:rPr>
        <w:t xml:space="preserve">29800 </w:t>
      </w:r>
      <w:r>
        <w:t>元/</w:t>
      </w:r>
      <w:r>
        <w:rPr>
          <w:spacing w:val="-17"/>
        </w:rPr>
        <w:t>人</w:t>
      </w:r>
      <w:r>
        <w:t>（</w:t>
      </w:r>
      <w:r>
        <w:rPr>
          <w:spacing w:val="-9"/>
        </w:rPr>
        <w:t>包括：报名费、学费、书本资料费、教学管理费；学员学习期间的食宿费、交通费及考察费自理）</w:t>
      </w:r>
    </w:p>
    <w:p>
      <w:pPr>
        <w:pStyle w:val="3"/>
        <w:rPr>
          <w:sz w:val="20"/>
        </w:rPr>
      </w:pPr>
    </w:p>
    <w:p>
      <w:pPr>
        <w:pStyle w:val="3"/>
        <w:spacing w:before="17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581660</wp:posOffset>
            </wp:positionH>
            <wp:positionV relativeFrom="paragraph">
              <wp:posOffset>222885</wp:posOffset>
            </wp:positionV>
            <wp:extent cx="2060575" cy="67373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7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"/>
        <w:ind w:right="1658" w:firstLine="666" w:firstLineChars="300"/>
        <w:jc w:val="both"/>
        <w:rPr>
          <w:rFonts w:hint="eastAsia" w:ascii="微软雅黑" w:hAnsi="微软雅黑" w:eastAsia="微软雅黑" w:cs="微软雅黑"/>
          <w:b/>
          <w:bCs/>
          <w:spacing w:val="-9"/>
          <w:sz w:val="24"/>
          <w:szCs w:val="24"/>
          <w:lang w:val="zh-CN" w:eastAsia="zh-CN" w:bidi="zh-CN"/>
        </w:rPr>
      </w:pPr>
    </w:p>
    <w:p>
      <w:pPr>
        <w:spacing w:before="22"/>
        <w:ind w:right="1658" w:firstLine="666" w:firstLineChars="300"/>
        <w:jc w:val="both"/>
        <w:rPr>
          <w:rFonts w:hint="eastAsia" w:ascii="微软雅黑" w:hAnsi="微软雅黑" w:eastAsia="微软雅黑" w:cs="微软雅黑"/>
          <w:b/>
          <w:bCs/>
          <w:spacing w:val="-9"/>
          <w:sz w:val="24"/>
          <w:szCs w:val="24"/>
          <w:lang w:val="zh-CN" w:eastAsia="zh-CN" w:bidi="zh-CN"/>
        </w:rPr>
      </w:pPr>
      <w:r>
        <w:rPr>
          <w:rFonts w:hint="eastAsia" w:ascii="微软雅黑" w:hAnsi="微软雅黑" w:eastAsia="微软雅黑" w:cs="微软雅黑"/>
          <w:b/>
          <w:bCs/>
          <w:spacing w:val="-9"/>
          <w:sz w:val="24"/>
          <w:szCs w:val="24"/>
          <w:lang w:val="zh-CN" w:eastAsia="zh-CN" w:bidi="zh-CN"/>
        </w:rPr>
        <w:t>联系人：</w:t>
      </w:r>
      <w:r>
        <w:rPr>
          <w:rFonts w:hint="eastAsia" w:cs="微软雅黑"/>
          <w:b/>
          <w:bCs/>
          <w:spacing w:val="-9"/>
          <w:sz w:val="24"/>
          <w:szCs w:val="24"/>
          <w:lang w:val="en-US" w:eastAsia="zh-CN" w:bidi="zh-CN"/>
        </w:rPr>
        <w:t>黄</w:t>
      </w:r>
      <w:r>
        <w:rPr>
          <w:rFonts w:hint="eastAsia" w:ascii="微软雅黑" w:hAnsi="微软雅黑" w:eastAsia="微软雅黑" w:cs="微软雅黑"/>
          <w:b/>
          <w:bCs/>
          <w:spacing w:val="-9"/>
          <w:sz w:val="24"/>
          <w:szCs w:val="24"/>
          <w:lang w:val="zh-CN" w:eastAsia="zh-CN" w:bidi="zh-CN"/>
        </w:rPr>
        <w:t>老师 15801</w:t>
      </w:r>
      <w:r>
        <w:rPr>
          <w:rFonts w:hint="eastAsia" w:cs="微软雅黑"/>
          <w:b/>
          <w:bCs/>
          <w:spacing w:val="-9"/>
          <w:sz w:val="24"/>
          <w:szCs w:val="24"/>
          <w:lang w:val="en-US" w:eastAsia="zh-CN" w:bidi="zh-CN"/>
        </w:rPr>
        <w:t>290683</w:t>
      </w:r>
      <w:bookmarkStart w:id="1" w:name="_GoBack"/>
      <w:bookmarkEnd w:id="1"/>
      <w:r>
        <w:rPr>
          <w:rFonts w:hint="eastAsia" w:ascii="微软雅黑" w:hAnsi="微软雅黑" w:eastAsia="微软雅黑" w:cs="微软雅黑"/>
          <w:b/>
          <w:bCs/>
          <w:spacing w:val="-9"/>
          <w:sz w:val="24"/>
          <w:szCs w:val="24"/>
          <w:lang w:val="zh-CN" w:eastAsia="zh-CN" w:bidi="zh-CN"/>
        </w:rPr>
        <w:t xml:space="preserve">（微信同号）    </w:t>
      </w:r>
    </w:p>
    <w:p>
      <w:pPr>
        <w:spacing w:before="22"/>
        <w:ind w:right="1658" w:firstLine="666" w:firstLineChars="300"/>
        <w:jc w:val="both"/>
        <w:rPr>
          <w:rFonts w:hint="eastAsia" w:ascii="宋体" w:eastAsia="宋体"/>
          <w:b/>
          <w:color w:val="FF0000"/>
          <w:sz w:val="36"/>
          <w:lang w:val="zh-CN" w:eastAsia="zh-CN"/>
        </w:rPr>
      </w:pPr>
      <w:r>
        <w:rPr>
          <w:rFonts w:hint="eastAsia" w:cs="微软雅黑"/>
          <w:b/>
          <w:bCs/>
          <w:spacing w:val="-9"/>
          <w:sz w:val="24"/>
          <w:szCs w:val="24"/>
          <w:lang w:val="en-US" w:eastAsia="zh-CN" w:bidi="zh-CN"/>
        </w:rPr>
        <w:t xml:space="preserve"> </w:t>
      </w:r>
    </w:p>
    <w:p>
      <w:pPr>
        <w:spacing w:before="22"/>
        <w:ind w:right="1658" w:firstLine="1084" w:firstLineChars="300"/>
        <w:jc w:val="both"/>
        <w:rPr>
          <w:rFonts w:hint="eastAsia" w:ascii="宋体" w:eastAsia="宋体"/>
          <w:b/>
          <w:color w:val="FF0000"/>
          <w:sz w:val="36"/>
          <w:lang w:val="zh-CN" w:eastAsia="zh-CN"/>
        </w:rPr>
      </w:pPr>
    </w:p>
    <w:p>
      <w:pPr>
        <w:spacing w:before="22"/>
        <w:ind w:right="1658" w:firstLine="1084" w:firstLineChars="300"/>
        <w:jc w:val="both"/>
        <w:rPr>
          <w:rFonts w:hint="eastAsia" w:ascii="宋体" w:eastAsia="宋体"/>
          <w:b/>
          <w:color w:val="FF0000"/>
          <w:sz w:val="36"/>
          <w:lang w:val="zh-CN" w:eastAsia="zh-CN"/>
        </w:rPr>
      </w:pPr>
    </w:p>
    <w:p>
      <w:pPr>
        <w:spacing w:before="22"/>
        <w:ind w:right="1658" w:firstLine="1084" w:firstLineChars="300"/>
        <w:jc w:val="both"/>
        <w:rPr>
          <w:rFonts w:hint="eastAsia" w:ascii="宋体" w:eastAsia="宋体"/>
          <w:b/>
          <w:color w:val="FF0000"/>
          <w:sz w:val="36"/>
          <w:lang w:val="zh-CN" w:eastAsia="zh-CN"/>
        </w:rPr>
      </w:pPr>
    </w:p>
    <w:p>
      <w:pPr>
        <w:spacing w:before="22"/>
        <w:ind w:right="1658" w:firstLine="1084" w:firstLineChars="300"/>
        <w:jc w:val="both"/>
        <w:rPr>
          <w:rFonts w:hint="eastAsia" w:ascii="宋体" w:eastAsia="宋体"/>
          <w:b/>
          <w:color w:val="FF0000"/>
          <w:sz w:val="36"/>
          <w:lang w:val="zh-CN" w:eastAsia="zh-CN"/>
        </w:rPr>
      </w:pPr>
    </w:p>
    <w:p>
      <w:pPr>
        <w:spacing w:before="22"/>
        <w:ind w:right="1658" w:firstLine="1807" w:firstLineChars="500"/>
        <w:jc w:val="both"/>
        <w:rPr>
          <w:rFonts w:hint="eastAsia" w:ascii="宋体" w:eastAsia="宋体"/>
          <w:b/>
          <w:sz w:val="36"/>
        </w:rPr>
      </w:pPr>
      <w:r>
        <w:rPr>
          <w:rFonts w:hint="eastAsia" w:ascii="宋体" w:eastAsia="宋体"/>
          <w:b/>
          <w:color w:val="FF0000"/>
          <w:sz w:val="36"/>
          <w:lang w:val="zh-CN" w:eastAsia="zh-CN"/>
        </w:rPr>
        <w:t>《</w:t>
      </w:r>
      <w:r>
        <w:rPr>
          <w:rFonts w:hint="eastAsia" w:ascii="宋体" w:eastAsia="宋体"/>
          <w:b/>
          <w:color w:val="FF0000"/>
          <w:sz w:val="36"/>
        </w:rPr>
        <w:t>标杆地产营销总监实战研修班》报名申请表</w:t>
      </w:r>
    </w:p>
    <w:p>
      <w:pPr>
        <w:pStyle w:val="3"/>
        <w:spacing w:before="5"/>
        <w:rPr>
          <w:rFonts w:ascii="宋体"/>
          <w:sz w:val="6"/>
        </w:rPr>
      </w:pPr>
    </w:p>
    <w:tbl>
      <w:tblPr>
        <w:tblStyle w:val="4"/>
        <w:tblW w:w="0" w:type="auto"/>
        <w:tblInd w:w="71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96"/>
        <w:gridCol w:w="339"/>
        <w:gridCol w:w="1223"/>
        <w:gridCol w:w="352"/>
        <w:gridCol w:w="917"/>
        <w:gridCol w:w="1064"/>
        <w:gridCol w:w="355"/>
        <w:gridCol w:w="1561"/>
        <w:gridCol w:w="18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381" w:type="dxa"/>
            <w:gridSpan w:val="10"/>
            <w:shd w:val="clear" w:color="auto" w:fill="BEBEBE"/>
          </w:tcPr>
          <w:p>
            <w:pPr>
              <w:pStyle w:val="9"/>
              <w:spacing w:before="130"/>
              <w:ind w:left="4188" w:right="4168"/>
              <w:jc w:val="center"/>
              <w:rPr>
                <w:rFonts w:hint="eastAsia" w:ascii="黑体" w:eastAsia="黑体"/>
                <w:b/>
                <w:sz w:val="24"/>
              </w:rPr>
            </w:pPr>
            <w:r>
              <w:rPr>
                <w:rFonts w:hint="eastAsia" w:ascii="黑体" w:eastAsia="黑体"/>
                <w:b/>
                <w:sz w:val="24"/>
              </w:rPr>
              <w:t>学员信息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279" w:type="dxa"/>
          </w:tcPr>
          <w:p>
            <w:pPr>
              <w:pStyle w:val="9"/>
              <w:spacing w:before="61"/>
              <w:ind w:left="427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姓 名</w:t>
            </w:r>
          </w:p>
        </w:tc>
        <w:tc>
          <w:tcPr>
            <w:tcW w:w="735" w:type="dxa"/>
            <w:gridSpan w:val="2"/>
          </w:tcPr>
          <w:p>
            <w:pPr>
              <w:pStyle w:val="9"/>
              <w:spacing w:before="61"/>
              <w:ind w:left="156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性别</w:t>
            </w:r>
          </w:p>
        </w:tc>
        <w:tc>
          <w:tcPr>
            <w:tcW w:w="1575" w:type="dxa"/>
            <w:gridSpan w:val="2"/>
          </w:tcPr>
          <w:p>
            <w:pPr>
              <w:pStyle w:val="9"/>
              <w:tabs>
                <w:tab w:val="left" w:pos="892"/>
              </w:tabs>
              <w:spacing w:before="61"/>
              <w:ind w:left="472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职</w:t>
            </w:r>
            <w:r>
              <w:rPr>
                <w:rFonts w:hint="eastAsia" w:ascii="黑体" w:eastAsia="黑体"/>
                <w:b/>
                <w:sz w:val="21"/>
              </w:rPr>
              <w:tab/>
            </w:r>
            <w:r>
              <w:rPr>
                <w:rFonts w:hint="eastAsia" w:ascii="黑体" w:eastAsia="黑体"/>
                <w:b/>
                <w:sz w:val="21"/>
              </w:rPr>
              <w:t>务</w:t>
            </w:r>
          </w:p>
        </w:tc>
        <w:tc>
          <w:tcPr>
            <w:tcW w:w="1981" w:type="dxa"/>
            <w:gridSpan w:val="2"/>
          </w:tcPr>
          <w:p>
            <w:pPr>
              <w:pStyle w:val="9"/>
              <w:tabs>
                <w:tab w:val="left" w:pos="439"/>
              </w:tabs>
              <w:spacing w:before="61"/>
              <w:ind w:left="17"/>
              <w:jc w:val="center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手</w:t>
            </w:r>
            <w:r>
              <w:rPr>
                <w:rFonts w:hint="eastAsia" w:ascii="黑体" w:eastAsia="黑体"/>
                <w:b/>
                <w:sz w:val="21"/>
              </w:rPr>
              <w:tab/>
            </w:r>
            <w:r>
              <w:rPr>
                <w:rFonts w:hint="eastAsia" w:ascii="黑体" w:eastAsia="黑体"/>
                <w:b/>
                <w:sz w:val="21"/>
              </w:rPr>
              <w:t>机</w:t>
            </w:r>
          </w:p>
        </w:tc>
        <w:tc>
          <w:tcPr>
            <w:tcW w:w="3811" w:type="dxa"/>
            <w:gridSpan w:val="3"/>
          </w:tcPr>
          <w:p>
            <w:pPr>
              <w:pStyle w:val="9"/>
              <w:spacing w:before="61"/>
              <w:ind w:left="1465" w:right="1442"/>
              <w:jc w:val="center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身份证号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1279" w:type="dxa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  <w:gridSpan w:val="2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75" w:type="dxa"/>
            <w:gridSpan w:val="2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81" w:type="dxa"/>
            <w:gridSpan w:val="2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11" w:type="dxa"/>
            <w:gridSpan w:val="3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1279" w:type="dxa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35" w:type="dxa"/>
            <w:gridSpan w:val="2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75" w:type="dxa"/>
            <w:gridSpan w:val="2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81" w:type="dxa"/>
            <w:gridSpan w:val="2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11" w:type="dxa"/>
            <w:gridSpan w:val="3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014" w:type="dxa"/>
            <w:gridSpan w:val="3"/>
          </w:tcPr>
          <w:p>
            <w:pPr>
              <w:pStyle w:val="9"/>
              <w:spacing w:before="141"/>
              <w:ind w:left="323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企业/单位名称</w:t>
            </w:r>
          </w:p>
        </w:tc>
        <w:tc>
          <w:tcPr>
            <w:tcW w:w="7367" w:type="dxa"/>
            <w:gridSpan w:val="7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2014" w:type="dxa"/>
            <w:gridSpan w:val="3"/>
          </w:tcPr>
          <w:p>
            <w:pPr>
              <w:pStyle w:val="9"/>
              <w:spacing w:before="103"/>
              <w:ind w:left="482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法定代表人</w:t>
            </w:r>
          </w:p>
        </w:tc>
        <w:tc>
          <w:tcPr>
            <w:tcW w:w="3556" w:type="dxa"/>
            <w:gridSpan w:val="4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gridSpan w:val="2"/>
          </w:tcPr>
          <w:p>
            <w:pPr>
              <w:pStyle w:val="9"/>
              <w:spacing w:before="103"/>
              <w:ind w:left="537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经营范围</w:t>
            </w:r>
          </w:p>
        </w:tc>
        <w:tc>
          <w:tcPr>
            <w:tcW w:w="1895" w:type="dxa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2014" w:type="dxa"/>
            <w:gridSpan w:val="3"/>
          </w:tcPr>
          <w:p>
            <w:pPr>
              <w:pStyle w:val="9"/>
              <w:spacing w:before="125"/>
              <w:ind w:left="585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所属行业</w:t>
            </w:r>
          </w:p>
        </w:tc>
        <w:tc>
          <w:tcPr>
            <w:tcW w:w="3556" w:type="dxa"/>
            <w:gridSpan w:val="4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gridSpan w:val="2"/>
          </w:tcPr>
          <w:p>
            <w:pPr>
              <w:pStyle w:val="9"/>
              <w:spacing w:before="125"/>
              <w:ind w:left="537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成立时间</w:t>
            </w:r>
          </w:p>
        </w:tc>
        <w:tc>
          <w:tcPr>
            <w:tcW w:w="1895" w:type="dxa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014" w:type="dxa"/>
            <w:gridSpan w:val="3"/>
          </w:tcPr>
          <w:p>
            <w:pPr>
              <w:pStyle w:val="9"/>
              <w:spacing w:before="142"/>
              <w:ind w:left="585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注册资金</w:t>
            </w:r>
          </w:p>
        </w:tc>
        <w:tc>
          <w:tcPr>
            <w:tcW w:w="3556" w:type="dxa"/>
            <w:gridSpan w:val="4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gridSpan w:val="2"/>
          </w:tcPr>
          <w:p>
            <w:pPr>
              <w:pStyle w:val="9"/>
              <w:spacing w:before="142"/>
              <w:ind w:left="537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年营业额</w:t>
            </w:r>
          </w:p>
        </w:tc>
        <w:tc>
          <w:tcPr>
            <w:tcW w:w="1895" w:type="dxa"/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014" w:type="dxa"/>
            <w:gridSpan w:val="3"/>
            <w:vMerge w:val="restart"/>
          </w:tcPr>
          <w:p>
            <w:pPr>
              <w:pStyle w:val="9"/>
              <w:spacing w:before="22"/>
              <w:ind w:left="482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w w:val="95"/>
                <w:sz w:val="21"/>
              </w:rPr>
              <w:t>企业总资产</w:t>
            </w:r>
          </w:p>
          <w:p>
            <w:pPr>
              <w:pStyle w:val="9"/>
              <w:spacing w:before="43" w:line="265" w:lineRule="exact"/>
              <w:ind w:left="482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w w:val="95"/>
                <w:sz w:val="21"/>
              </w:rPr>
              <w:t>（人民币）</w:t>
            </w:r>
          </w:p>
        </w:tc>
        <w:tc>
          <w:tcPr>
            <w:tcW w:w="7367" w:type="dxa"/>
            <w:gridSpan w:val="7"/>
          </w:tcPr>
          <w:p>
            <w:pPr>
              <w:pStyle w:val="9"/>
              <w:tabs>
                <w:tab w:val="left" w:pos="2164"/>
                <w:tab w:val="left" w:pos="4168"/>
                <w:tab w:val="left" w:pos="5908"/>
              </w:tabs>
              <w:spacing w:before="27"/>
              <w:rPr>
                <w:rFonts w:hint="eastAsia" w:ascii="黑体" w:hAnsi="黑体" w:eastAsia="黑体"/>
                <w:b/>
                <w:sz w:val="21"/>
              </w:rPr>
            </w:pPr>
            <w:r>
              <w:rPr>
                <w:rFonts w:hint="eastAsia" w:ascii="黑体" w:hAnsi="黑体" w:eastAsia="黑体"/>
                <w:b/>
                <w:sz w:val="21"/>
              </w:rPr>
              <w:t>□3000</w:t>
            </w:r>
            <w:r>
              <w:rPr>
                <w:rFonts w:hint="eastAsia" w:ascii="黑体" w:hAnsi="黑体" w:eastAsia="黑体"/>
                <w:b/>
                <w:spacing w:val="-54"/>
                <w:sz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 w:val="21"/>
              </w:rPr>
              <w:t>万以上</w:t>
            </w:r>
            <w:r>
              <w:rPr>
                <w:rFonts w:hint="eastAsia" w:ascii="黑体" w:hAnsi="黑体" w:eastAsia="黑体"/>
                <w:b/>
                <w:sz w:val="21"/>
              </w:rPr>
              <w:tab/>
            </w:r>
            <w:r>
              <w:rPr>
                <w:rFonts w:hint="eastAsia" w:ascii="黑体" w:hAnsi="黑体" w:eastAsia="黑体"/>
                <w:b/>
                <w:sz w:val="21"/>
              </w:rPr>
              <w:t>□5000</w:t>
            </w:r>
            <w:r>
              <w:rPr>
                <w:rFonts w:hint="eastAsia" w:ascii="黑体" w:hAnsi="黑体" w:eastAsia="黑体"/>
                <w:b/>
                <w:spacing w:val="-53"/>
                <w:sz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 w:val="21"/>
              </w:rPr>
              <w:t>万-1</w:t>
            </w:r>
            <w:r>
              <w:rPr>
                <w:rFonts w:hint="eastAsia" w:ascii="黑体" w:hAnsi="黑体" w:eastAsia="黑体"/>
                <w:b/>
                <w:spacing w:val="-53"/>
                <w:sz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 w:val="21"/>
              </w:rPr>
              <w:t>亿</w:t>
            </w:r>
            <w:r>
              <w:rPr>
                <w:rFonts w:hint="eastAsia" w:ascii="黑体" w:hAnsi="黑体" w:eastAsia="黑体"/>
                <w:b/>
                <w:sz w:val="21"/>
              </w:rPr>
              <w:tab/>
            </w:r>
            <w:r>
              <w:rPr>
                <w:rFonts w:hint="eastAsia" w:ascii="黑体" w:hAnsi="黑体" w:eastAsia="黑体"/>
                <w:b/>
                <w:sz w:val="21"/>
              </w:rPr>
              <w:t>□1-5</w:t>
            </w:r>
            <w:r>
              <w:rPr>
                <w:rFonts w:hint="eastAsia" w:ascii="黑体" w:hAnsi="黑体" w:eastAsia="黑体"/>
                <w:b/>
                <w:spacing w:val="-56"/>
                <w:sz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 w:val="21"/>
              </w:rPr>
              <w:t>亿</w:t>
            </w:r>
            <w:r>
              <w:rPr>
                <w:rFonts w:hint="eastAsia" w:ascii="黑体" w:hAnsi="黑体" w:eastAsia="黑体"/>
                <w:b/>
                <w:sz w:val="21"/>
              </w:rPr>
              <w:tab/>
            </w:r>
            <w:r>
              <w:rPr>
                <w:rFonts w:hint="eastAsia" w:ascii="黑体" w:hAnsi="黑体" w:eastAsia="黑体"/>
                <w:b/>
                <w:sz w:val="21"/>
              </w:rPr>
              <w:t>□5-10</w:t>
            </w:r>
            <w:r>
              <w:rPr>
                <w:rFonts w:hint="eastAsia" w:ascii="黑体" w:hAnsi="黑体" w:eastAsia="黑体"/>
                <w:b/>
                <w:spacing w:val="-55"/>
                <w:sz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 w:val="21"/>
              </w:rPr>
              <w:t>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014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7" w:type="dxa"/>
            <w:gridSpan w:val="7"/>
          </w:tcPr>
          <w:p>
            <w:pPr>
              <w:pStyle w:val="9"/>
              <w:tabs>
                <w:tab w:val="left" w:pos="2164"/>
                <w:tab w:val="left" w:pos="4223"/>
              </w:tabs>
              <w:spacing w:before="21" w:line="236" w:lineRule="exact"/>
              <w:rPr>
                <w:rFonts w:hint="eastAsia" w:ascii="黑体" w:hAnsi="黑体" w:eastAsia="黑体"/>
                <w:b/>
                <w:sz w:val="21"/>
              </w:rPr>
            </w:pPr>
            <w:r>
              <w:rPr>
                <w:rFonts w:hint="eastAsia" w:ascii="黑体" w:hAnsi="黑体" w:eastAsia="黑体"/>
                <w:b/>
                <w:sz w:val="21"/>
              </w:rPr>
              <w:t>□10-50</w:t>
            </w:r>
            <w:r>
              <w:rPr>
                <w:rFonts w:hint="eastAsia" w:ascii="黑体" w:hAnsi="黑体" w:eastAsia="黑体"/>
                <w:b/>
                <w:spacing w:val="-54"/>
                <w:sz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 w:val="21"/>
              </w:rPr>
              <w:t>亿</w:t>
            </w:r>
            <w:r>
              <w:rPr>
                <w:rFonts w:hint="eastAsia" w:ascii="黑体" w:hAnsi="黑体" w:eastAsia="黑体"/>
                <w:b/>
                <w:sz w:val="21"/>
              </w:rPr>
              <w:tab/>
            </w:r>
            <w:r>
              <w:rPr>
                <w:rFonts w:hint="eastAsia" w:ascii="黑体" w:hAnsi="黑体" w:eastAsia="黑体"/>
                <w:b/>
                <w:sz w:val="21"/>
              </w:rPr>
              <w:t>□50-100</w:t>
            </w:r>
            <w:r>
              <w:rPr>
                <w:rFonts w:hint="eastAsia" w:ascii="黑体" w:hAnsi="黑体" w:eastAsia="黑体"/>
                <w:b/>
                <w:spacing w:val="-56"/>
                <w:sz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 w:val="21"/>
              </w:rPr>
              <w:t>亿</w:t>
            </w:r>
            <w:r>
              <w:rPr>
                <w:rFonts w:hint="eastAsia" w:ascii="黑体" w:hAnsi="黑体" w:eastAsia="黑体"/>
                <w:b/>
                <w:sz w:val="21"/>
              </w:rPr>
              <w:tab/>
            </w:r>
            <w:r>
              <w:rPr>
                <w:rFonts w:hint="eastAsia" w:ascii="黑体" w:hAnsi="黑体" w:eastAsia="黑体"/>
                <w:b/>
                <w:sz w:val="21"/>
              </w:rPr>
              <w:t>□100</w:t>
            </w:r>
            <w:r>
              <w:rPr>
                <w:rFonts w:hint="eastAsia" w:ascii="黑体" w:hAnsi="黑体" w:eastAsia="黑体"/>
                <w:b/>
                <w:spacing w:val="-55"/>
                <w:sz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 w:val="21"/>
              </w:rPr>
              <w:t>亿以上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14" w:type="dxa"/>
            <w:gridSpan w:val="3"/>
          </w:tcPr>
          <w:p>
            <w:pPr>
              <w:pStyle w:val="9"/>
              <w:spacing w:before="82"/>
              <w:ind w:left="323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公司/单位性质</w:t>
            </w:r>
          </w:p>
        </w:tc>
        <w:tc>
          <w:tcPr>
            <w:tcW w:w="7367" w:type="dxa"/>
            <w:gridSpan w:val="7"/>
          </w:tcPr>
          <w:p>
            <w:pPr>
              <w:pStyle w:val="9"/>
              <w:tabs>
                <w:tab w:val="left" w:pos="949"/>
                <w:tab w:val="left" w:pos="1792"/>
                <w:tab w:val="left" w:pos="3690"/>
                <w:tab w:val="left" w:pos="5377"/>
              </w:tabs>
              <w:spacing w:before="142"/>
              <w:rPr>
                <w:rFonts w:hint="eastAsia" w:ascii="黑体" w:hAnsi="黑体" w:eastAsia="黑体"/>
                <w:b/>
                <w:sz w:val="21"/>
              </w:rPr>
            </w:pPr>
            <w:r>
              <w:rPr>
                <w:rFonts w:hint="eastAsia" w:ascii="黑体" w:hAnsi="黑体" w:eastAsia="黑体"/>
                <w:b/>
                <w:sz w:val="21"/>
              </w:rPr>
              <w:t>□国有</w:t>
            </w:r>
            <w:r>
              <w:rPr>
                <w:rFonts w:hint="eastAsia" w:ascii="黑体" w:hAnsi="黑体" w:eastAsia="黑体"/>
                <w:b/>
                <w:sz w:val="21"/>
              </w:rPr>
              <w:tab/>
            </w:r>
            <w:r>
              <w:rPr>
                <w:rFonts w:hint="eastAsia" w:ascii="黑体" w:hAnsi="黑体" w:eastAsia="黑体"/>
                <w:b/>
                <w:sz w:val="21"/>
              </w:rPr>
              <w:t>□集体</w:t>
            </w:r>
            <w:r>
              <w:rPr>
                <w:rFonts w:hint="eastAsia" w:ascii="黑体" w:hAnsi="黑体" w:eastAsia="黑体"/>
                <w:b/>
                <w:sz w:val="21"/>
              </w:rPr>
              <w:tab/>
            </w:r>
            <w:r>
              <w:rPr>
                <w:rFonts w:hint="eastAsia" w:ascii="黑体" w:hAnsi="黑体" w:eastAsia="黑体"/>
                <w:b/>
                <w:sz w:val="21"/>
              </w:rPr>
              <w:t>□民营/私营企业</w:t>
            </w:r>
            <w:r>
              <w:rPr>
                <w:rFonts w:hint="eastAsia" w:ascii="黑体" w:hAnsi="黑体" w:eastAsia="黑体"/>
                <w:b/>
                <w:sz w:val="21"/>
              </w:rPr>
              <w:tab/>
            </w:r>
            <w:r>
              <w:rPr>
                <w:rFonts w:hint="eastAsia" w:ascii="黑体" w:hAnsi="黑体" w:eastAsia="黑体"/>
                <w:b/>
                <w:sz w:val="21"/>
              </w:rPr>
              <w:t>□外商独资企业</w:t>
            </w:r>
            <w:r>
              <w:rPr>
                <w:rFonts w:hint="eastAsia" w:ascii="黑体" w:hAnsi="黑体" w:eastAsia="黑体"/>
                <w:b/>
                <w:sz w:val="21"/>
              </w:rPr>
              <w:tab/>
            </w:r>
            <w:r>
              <w:rPr>
                <w:rFonts w:hint="eastAsia" w:ascii="黑体" w:hAnsi="黑体" w:eastAsia="黑体"/>
                <w:b/>
                <w:sz w:val="21"/>
              </w:rPr>
              <w:t>□其它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2014" w:type="dxa"/>
            <w:gridSpan w:val="3"/>
            <w:tcBorders>
              <w:bottom w:val="single" w:color="000000" w:sz="12" w:space="0"/>
            </w:tcBorders>
          </w:tcPr>
          <w:p>
            <w:pPr>
              <w:pStyle w:val="9"/>
              <w:spacing w:before="59"/>
              <w:ind w:left="585"/>
              <w:rPr>
                <w:rFonts w:hint="eastAsia" w:ascii="黑体" w:eastAsia="黑体"/>
                <w:b/>
                <w:sz w:val="21"/>
              </w:rPr>
            </w:pPr>
            <w:r>
              <w:rPr>
                <w:rFonts w:hint="eastAsia" w:ascii="黑体" w:eastAsia="黑体"/>
                <w:b/>
                <w:sz w:val="21"/>
              </w:rPr>
              <w:t>公司地址</w:t>
            </w:r>
          </w:p>
        </w:tc>
        <w:tc>
          <w:tcPr>
            <w:tcW w:w="7367" w:type="dxa"/>
            <w:gridSpan w:val="7"/>
            <w:tcBorders>
              <w:bottom w:val="single" w:color="000000" w:sz="12" w:space="0"/>
            </w:tcBorders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9381" w:type="dxa"/>
            <w:gridSpan w:val="10"/>
            <w:tcBorders>
              <w:top w:val="single" w:color="000000" w:sz="12" w:space="0"/>
              <w:left w:val="thickThinMediumGap" w:color="000000" w:sz="4" w:space="0"/>
              <w:bottom w:val="single" w:color="000000" w:sz="4" w:space="0"/>
              <w:right w:val="thickThinMediumGap" w:color="000000" w:sz="4" w:space="0"/>
            </w:tcBorders>
            <w:shd w:val="clear" w:color="auto" w:fill="DDD9C3"/>
          </w:tcPr>
          <w:p>
            <w:pPr>
              <w:pStyle w:val="9"/>
              <w:spacing w:before="110"/>
              <w:ind w:left="22"/>
              <w:jc w:val="center"/>
              <w:rPr>
                <w:rFonts w:hint="eastAsia" w:ascii="黑体" w:eastAsia="黑体"/>
                <w:b/>
                <w:sz w:val="24"/>
              </w:rPr>
            </w:pPr>
            <w:r>
              <w:rPr>
                <w:rFonts w:hint="eastAsia" w:ascii="黑体" w:eastAsia="黑体"/>
                <w:b/>
                <w:sz w:val="24"/>
              </w:rPr>
              <w:t>指定联系人信息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675" w:type="dxa"/>
            <w:gridSpan w:val="2"/>
            <w:tcBorders>
              <w:top w:val="single" w:color="000000" w:sz="4" w:space="0"/>
              <w:left w:val="thickThinMediumGap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93"/>
              <w:ind w:left="626" w:right="568"/>
              <w:jc w:val="center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姓名</w:t>
            </w:r>
          </w:p>
        </w:tc>
        <w:tc>
          <w:tcPr>
            <w:tcW w:w="15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93"/>
              <w:ind w:left="428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性别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93"/>
              <w:ind w:left="553" w:right="538"/>
              <w:jc w:val="center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职务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thickThinMediumGap" w:color="000000" w:sz="4" w:space="0"/>
            </w:tcBorders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1675" w:type="dxa"/>
            <w:gridSpan w:val="2"/>
            <w:tcBorders>
              <w:top w:val="single" w:color="000000" w:sz="4" w:space="0"/>
              <w:left w:val="thickThinMediumGap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1"/>
              <w:ind w:left="626" w:right="568"/>
              <w:jc w:val="center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手机</w:t>
            </w:r>
          </w:p>
        </w:tc>
        <w:tc>
          <w:tcPr>
            <w:tcW w:w="15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1"/>
              <w:ind w:left="428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座机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1"/>
              <w:ind w:left="553" w:right="538"/>
              <w:jc w:val="center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传真</w:t>
            </w:r>
          </w:p>
        </w:tc>
        <w:tc>
          <w:tcPr>
            <w:tcW w:w="1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thickThinMediumGap" w:color="000000" w:sz="4" w:space="0"/>
            </w:tcBorders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675" w:type="dxa"/>
            <w:gridSpan w:val="2"/>
            <w:tcBorders>
              <w:top w:val="single" w:color="000000" w:sz="4" w:space="0"/>
              <w:left w:val="thickThinMediumGap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3"/>
              <w:ind w:left="542"/>
              <w:rPr>
                <w:rFonts w:ascii="宋体"/>
                <w:sz w:val="21"/>
              </w:rPr>
            </w:pPr>
            <w:r>
              <w:rPr>
                <w:rFonts w:ascii="宋体"/>
                <w:sz w:val="21"/>
              </w:rPr>
              <w:t>E-mail</w:t>
            </w:r>
          </w:p>
        </w:tc>
        <w:tc>
          <w:tcPr>
            <w:tcW w:w="15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3"/>
              <w:ind w:left="219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邮寄地址</w:t>
            </w:r>
          </w:p>
        </w:tc>
        <w:tc>
          <w:tcPr>
            <w:tcW w:w="4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thickThinMediumGap" w:color="000000" w:sz="4" w:space="0"/>
            </w:tcBorders>
          </w:tcPr>
          <w:p>
            <w:pPr>
              <w:pStyle w:val="9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9381" w:type="dxa"/>
            <w:gridSpan w:val="10"/>
            <w:tcBorders>
              <w:top w:val="single" w:color="000000" w:sz="4" w:space="0"/>
              <w:left w:val="thickThinMediumGap" w:color="000000" w:sz="4" w:space="0"/>
              <w:bottom w:val="single" w:color="000000" w:sz="4" w:space="0"/>
              <w:right w:val="thickThinMediumGap" w:color="000000" w:sz="4" w:space="0"/>
            </w:tcBorders>
            <w:shd w:val="clear" w:color="auto" w:fill="BEBEBE"/>
          </w:tcPr>
          <w:p>
            <w:pPr>
              <w:pStyle w:val="9"/>
              <w:spacing w:before="127"/>
              <w:ind w:left="52"/>
              <w:rPr>
                <w:rFonts w:hint="eastAsia" w:ascii="宋体" w:eastAsia="宋体"/>
                <w:b/>
                <w:sz w:val="21"/>
              </w:rPr>
            </w:pPr>
            <w:r>
              <w:rPr>
                <w:rFonts w:hint="eastAsia" w:ascii="宋体" w:eastAsia="宋体"/>
                <w:b/>
                <w:sz w:val="21"/>
              </w:rPr>
              <w:t>注：酒店费用自付（本次活动指定酒店,请详见报到确认函）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237" w:type="dxa"/>
            <w:gridSpan w:val="4"/>
            <w:tcBorders>
              <w:top w:val="single" w:color="000000" w:sz="4" w:space="0"/>
              <w:left w:val="thickThinMediumGap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78"/>
              <w:ind w:left="52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是否需要预订酒店客房</w:t>
            </w:r>
          </w:p>
        </w:tc>
        <w:tc>
          <w:tcPr>
            <w:tcW w:w="614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thickThinMediumGap" w:color="000000" w:sz="4" w:space="0"/>
            </w:tcBorders>
          </w:tcPr>
          <w:p>
            <w:pPr>
              <w:pStyle w:val="9"/>
              <w:tabs>
                <w:tab w:val="left" w:pos="1793"/>
                <w:tab w:val="left" w:pos="2213"/>
                <w:tab w:val="left" w:pos="4104"/>
              </w:tabs>
              <w:spacing w:before="22"/>
              <w:ind w:left="10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□需要入住日期:</w:t>
            </w:r>
            <w:r>
              <w:rPr>
                <w:rFonts w:hint="eastAsia" w:ascii="宋体" w:hAnsi="宋体" w:eastAsia="宋体"/>
                <w:sz w:val="21"/>
              </w:rPr>
              <w:tab/>
            </w:r>
            <w:r>
              <w:rPr>
                <w:rFonts w:hint="eastAsia" w:ascii="宋体" w:hAnsi="宋体" w:eastAsia="宋体"/>
                <w:sz w:val="21"/>
              </w:rPr>
              <w:t>月</w:t>
            </w:r>
            <w:r>
              <w:rPr>
                <w:rFonts w:hint="eastAsia" w:ascii="宋体" w:hAnsi="宋体" w:eastAsia="宋体"/>
                <w:sz w:val="21"/>
              </w:rPr>
              <w:tab/>
            </w:r>
            <w:r>
              <w:rPr>
                <w:rFonts w:hint="eastAsia" w:ascii="宋体" w:hAnsi="宋体" w:eastAsia="宋体"/>
                <w:sz w:val="21"/>
              </w:rPr>
              <w:t>日-退房日期：</w:t>
            </w:r>
            <w:r>
              <w:rPr>
                <w:rFonts w:hint="eastAsia" w:ascii="宋体" w:hAnsi="宋体" w:eastAsia="宋体"/>
                <w:spacing w:val="-2"/>
                <w:sz w:val="21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</w:rPr>
              <w:t>月</w:t>
            </w:r>
            <w:r>
              <w:rPr>
                <w:rFonts w:hint="eastAsia" w:ascii="宋体" w:hAnsi="宋体" w:eastAsia="宋体"/>
                <w:sz w:val="21"/>
              </w:rPr>
              <w:tab/>
            </w:r>
            <w:r>
              <w:rPr>
                <w:rFonts w:hint="eastAsia" w:ascii="宋体" w:hAnsi="宋体" w:eastAsia="宋体"/>
                <w:sz w:val="21"/>
              </w:rPr>
              <w:t>日</w:t>
            </w:r>
          </w:p>
          <w:p>
            <w:pPr>
              <w:pStyle w:val="9"/>
              <w:spacing w:before="43"/>
              <w:ind w:left="10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□不需要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75" w:type="dxa"/>
            <w:gridSpan w:val="2"/>
            <w:tcBorders>
              <w:top w:val="single" w:color="000000" w:sz="4" w:space="0"/>
              <w:left w:val="thickThinMediumGap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9"/>
              <w:ind w:left="52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费用合计</w:t>
            </w:r>
          </w:p>
        </w:tc>
        <w:tc>
          <w:tcPr>
            <w:tcW w:w="770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thickThinMediumGap" w:color="000000" w:sz="4" w:space="0"/>
            </w:tcBorders>
          </w:tcPr>
          <w:p>
            <w:pPr>
              <w:pStyle w:val="9"/>
              <w:tabs>
                <w:tab w:val="left" w:pos="3369"/>
              </w:tabs>
              <w:spacing w:before="79"/>
              <w:ind w:left="10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人民币（大写</w:t>
            </w:r>
            <w:r>
              <w:rPr>
                <w:rFonts w:hint="eastAsia" w:ascii="宋体" w:eastAsia="宋体"/>
                <w:sz w:val="21"/>
                <w:u w:val="single"/>
              </w:rPr>
              <w:t>）贰万玖千捌百元整</w:t>
            </w:r>
            <w:r>
              <w:rPr>
                <w:rFonts w:hint="eastAsia" w:ascii="宋体" w:eastAsia="宋体"/>
                <w:sz w:val="21"/>
                <w:u w:val="single"/>
              </w:rPr>
              <w:tab/>
            </w:r>
            <w:r>
              <w:rPr>
                <w:rFonts w:hint="eastAsia" w:ascii="宋体" w:eastAsia="宋体"/>
                <w:sz w:val="21"/>
              </w:rPr>
              <w:t>（小写￥</w:t>
            </w:r>
            <w:r>
              <w:rPr>
                <w:rFonts w:hint="eastAsia" w:ascii="宋体" w:eastAsia="宋体"/>
                <w:sz w:val="21"/>
                <w:u w:val="single"/>
              </w:rPr>
              <w:t xml:space="preserve"> 29800.00</w:t>
            </w:r>
            <w:r>
              <w:rPr>
                <w:rFonts w:hint="eastAsia" w:ascii="宋体" w:eastAsia="宋体"/>
                <w:spacing w:val="-54"/>
                <w:sz w:val="21"/>
                <w:u w:val="single"/>
              </w:rPr>
              <w:t xml:space="preserve"> </w:t>
            </w:r>
            <w:r>
              <w:rPr>
                <w:rFonts w:hint="eastAsia" w:ascii="宋体" w:eastAsia="宋体"/>
                <w:sz w:val="21"/>
                <w:u w:val="single"/>
              </w:rPr>
              <w:t>元</w:t>
            </w:r>
            <w:r>
              <w:rPr>
                <w:rFonts w:hint="eastAsia" w:ascii="宋体" w:eastAsia="宋体"/>
                <w:sz w:val="21"/>
              </w:rPr>
              <w:t>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1" w:hRule="atLeast"/>
        </w:trPr>
        <w:tc>
          <w:tcPr>
            <w:tcW w:w="1675" w:type="dxa"/>
            <w:gridSpan w:val="2"/>
            <w:tcBorders>
              <w:top w:val="single" w:color="000000" w:sz="4" w:space="0"/>
              <w:left w:val="thickThinMediumGap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0"/>
              <w:ind w:left="0"/>
              <w:rPr>
                <w:rFonts w:ascii="宋体"/>
                <w:b/>
                <w:sz w:val="20"/>
              </w:rPr>
            </w:pPr>
          </w:p>
          <w:p>
            <w:pPr>
              <w:pStyle w:val="9"/>
              <w:spacing w:before="0"/>
              <w:ind w:left="0"/>
              <w:rPr>
                <w:rFonts w:ascii="宋体"/>
                <w:b/>
                <w:sz w:val="20"/>
              </w:rPr>
            </w:pPr>
          </w:p>
          <w:p>
            <w:pPr>
              <w:pStyle w:val="9"/>
              <w:spacing w:before="7"/>
              <w:ind w:left="0"/>
              <w:rPr>
                <w:rFonts w:ascii="宋体"/>
                <w:b/>
                <w:sz w:val="22"/>
              </w:rPr>
            </w:pPr>
          </w:p>
          <w:p>
            <w:pPr>
              <w:pStyle w:val="9"/>
              <w:spacing w:before="0"/>
              <w:ind w:left="52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交费方式</w:t>
            </w:r>
          </w:p>
        </w:tc>
        <w:tc>
          <w:tcPr>
            <w:tcW w:w="770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thickThinMediumGap" w:color="000000" w:sz="4" w:space="0"/>
            </w:tcBorders>
          </w:tcPr>
          <w:p>
            <w:pPr>
              <w:pStyle w:val="9"/>
              <w:spacing w:before="16"/>
              <w:ind w:left="10"/>
              <w:rPr>
                <w:rFonts w:hint="eastAsia" w:ascii="宋体" w:eastAsia="宋体"/>
                <w:sz w:val="22"/>
              </w:rPr>
            </w:pPr>
            <w:r>
              <w:rPr>
                <w:rFonts w:hint="eastAsia" w:ascii="宋体" w:eastAsia="宋体"/>
                <w:spacing w:val="-3"/>
                <w:sz w:val="22"/>
              </w:rPr>
              <w:t>请将学费通过银行汇入指定运营账户</w:t>
            </w:r>
          </w:p>
          <w:p>
            <w:pPr>
              <w:pStyle w:val="9"/>
              <w:spacing w:before="30" w:line="345" w:lineRule="auto"/>
              <w:ind w:left="10" w:right="3382"/>
              <w:rPr>
                <w:sz w:val="22"/>
              </w:rPr>
            </w:pPr>
            <w:r>
              <w:rPr>
                <w:rFonts w:hint="eastAsia" w:ascii="宋体" w:eastAsia="宋体"/>
                <w:spacing w:val="-3"/>
                <w:sz w:val="22"/>
              </w:rPr>
              <w:t>户 名：高景亚太河北企业管理咨询有限公司</w:t>
            </w:r>
            <w:r>
              <w:rPr>
                <w:rFonts w:hint="eastAsia" w:ascii="宋体" w:eastAsia="宋体"/>
                <w:spacing w:val="-2"/>
                <w:sz w:val="22"/>
              </w:rPr>
              <w:t>帐 号：</w:t>
            </w:r>
            <w:r>
              <w:rPr>
                <w:sz w:val="22"/>
              </w:rPr>
              <w:t>0402 0222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0930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0152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930</w:t>
            </w:r>
          </w:p>
          <w:p>
            <w:pPr>
              <w:pStyle w:val="9"/>
              <w:spacing w:before="0" w:line="228" w:lineRule="exact"/>
              <w:ind w:left="10"/>
              <w:rPr>
                <w:rFonts w:hint="eastAsia" w:ascii="宋体" w:eastAsia="宋体"/>
                <w:sz w:val="22"/>
              </w:rPr>
            </w:pPr>
            <w:r>
              <w:rPr>
                <w:rFonts w:hint="eastAsia" w:ascii="宋体" w:eastAsia="宋体"/>
                <w:sz w:val="22"/>
              </w:rPr>
              <w:t>开户行：中国工商银行石家庄西苑支行</w:t>
            </w:r>
          </w:p>
          <w:p>
            <w:pPr>
              <w:pStyle w:val="9"/>
              <w:spacing w:before="30" w:line="276" w:lineRule="exact"/>
              <w:ind w:left="10"/>
              <w:rPr>
                <w:rFonts w:hint="eastAsia" w:ascii="宋体" w:eastAsia="宋体"/>
                <w:sz w:val="22"/>
              </w:rPr>
            </w:pPr>
            <w:r>
              <w:rPr>
                <w:rFonts w:hint="eastAsia" w:ascii="宋体" w:eastAsia="宋体"/>
                <w:sz w:val="22"/>
              </w:rPr>
              <w:t>用途：标杆地产营销总监班XXX 学费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9381" w:type="dxa"/>
            <w:gridSpan w:val="10"/>
            <w:tcBorders>
              <w:top w:val="single" w:color="000000" w:sz="4" w:space="0"/>
              <w:left w:val="thickThin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pStyle w:val="9"/>
              <w:spacing w:before="21"/>
              <w:ind w:left="15"/>
              <w:jc w:val="center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参会申请人签名：</w:t>
            </w:r>
          </w:p>
          <w:p>
            <w:pPr>
              <w:pStyle w:val="9"/>
              <w:spacing w:before="43"/>
              <w:ind w:left="20"/>
              <w:jc w:val="center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（加盖贵单位公章）</w:t>
            </w:r>
          </w:p>
          <w:p>
            <w:pPr>
              <w:pStyle w:val="9"/>
              <w:tabs>
                <w:tab w:val="left" w:pos="7055"/>
                <w:tab w:val="left" w:pos="7580"/>
              </w:tabs>
              <w:spacing w:before="43"/>
              <w:ind w:left="6529"/>
              <w:jc w:val="center"/>
              <w:rPr>
                <w:rFonts w:hint="eastAsia" w:ascii="宋体" w:eastAsia="宋体"/>
                <w:sz w:val="21"/>
              </w:rPr>
            </w:pPr>
            <w:r>
              <w:rPr>
                <w:rFonts w:hint="eastAsia" w:ascii="宋体" w:eastAsia="宋体"/>
                <w:sz w:val="21"/>
              </w:rPr>
              <w:t>年</w:t>
            </w:r>
            <w:r>
              <w:rPr>
                <w:rFonts w:hint="eastAsia" w:ascii="宋体" w:eastAsia="宋体"/>
                <w:sz w:val="21"/>
              </w:rPr>
              <w:tab/>
            </w:r>
            <w:r>
              <w:rPr>
                <w:rFonts w:hint="eastAsia" w:ascii="宋体" w:eastAsia="宋体"/>
                <w:sz w:val="21"/>
              </w:rPr>
              <w:t>月</w:t>
            </w:r>
            <w:r>
              <w:rPr>
                <w:rFonts w:hint="eastAsia" w:ascii="宋体" w:eastAsia="宋体"/>
                <w:sz w:val="21"/>
              </w:rPr>
              <w:tab/>
            </w:r>
            <w:r>
              <w:rPr>
                <w:rFonts w:hint="eastAsia" w:ascii="宋体" w:eastAsia="宋体"/>
                <w:sz w:val="21"/>
              </w:rPr>
              <w:t>日</w:t>
            </w:r>
          </w:p>
        </w:tc>
      </w:tr>
    </w:tbl>
    <w:p>
      <w:pPr>
        <w:spacing w:before="0" w:line="252" w:lineRule="exact"/>
        <w:ind w:left="520" w:right="0" w:firstLine="0"/>
        <w:jc w:val="left"/>
        <w:rPr>
          <w:rFonts w:hint="eastAsia" w:ascii="宋体" w:hAnsi="微软雅黑" w:eastAsia="宋体" w:cs="微软雅黑"/>
          <w:color w:val="000000" w:themeColor="text1"/>
          <w:spacing w:val="-3"/>
          <w:sz w:val="22"/>
          <w:szCs w:val="22"/>
          <w:lang w:val="zh-CN" w:eastAsia="zh-CN" w:bidi="zh-CN"/>
        </w:rPr>
      </w:pPr>
    </w:p>
    <w:p>
      <w:pPr>
        <w:spacing w:before="0" w:line="252" w:lineRule="exact"/>
        <w:ind w:left="520" w:right="0" w:firstLine="428" w:firstLineChars="200"/>
        <w:jc w:val="left"/>
        <w:rPr>
          <w:rFonts w:hint="eastAsia" w:ascii="宋体" w:hAnsi="微软雅黑" w:eastAsia="宋体" w:cs="微软雅黑"/>
          <w:color w:val="000000" w:themeColor="text1"/>
          <w:spacing w:val="-3"/>
          <w:sz w:val="22"/>
          <w:szCs w:val="22"/>
          <w:lang w:val="zh-CN" w:eastAsia="zh-CN" w:bidi="zh-CN"/>
        </w:rPr>
      </w:pPr>
      <w:r>
        <w:rPr>
          <w:rFonts w:hint="eastAsia" w:ascii="宋体" w:hAnsi="微软雅黑" w:eastAsia="宋体" w:cs="微软雅黑"/>
          <w:color w:val="000000" w:themeColor="text1"/>
          <w:spacing w:val="-3"/>
          <w:sz w:val="22"/>
          <w:szCs w:val="22"/>
          <w:lang w:val="zh-CN" w:eastAsia="zh-CN" w:bidi="zh-CN"/>
        </w:rPr>
        <w:t>注：请将报名表填写完整后传真或发电子邮件到招生办公室张老师收。</w:t>
      </w:r>
    </w:p>
    <w:p>
      <w:pPr>
        <w:spacing w:before="0" w:line="252" w:lineRule="exact"/>
        <w:ind w:left="520" w:right="0" w:firstLine="856" w:firstLineChars="400"/>
        <w:jc w:val="left"/>
        <w:rPr>
          <w:rFonts w:hint="eastAsia" w:ascii="宋体" w:hAnsi="微软雅黑" w:eastAsia="宋体" w:cs="微软雅黑"/>
          <w:color w:val="000000" w:themeColor="text1"/>
          <w:spacing w:val="-3"/>
          <w:sz w:val="22"/>
          <w:szCs w:val="22"/>
          <w:lang w:val="zh-CN" w:eastAsia="zh-CN" w:bidi="zh-CN"/>
        </w:rPr>
      </w:pPr>
      <w:r>
        <w:rPr>
          <w:rFonts w:hint="eastAsia" w:ascii="宋体" w:hAnsi="微软雅黑" w:eastAsia="宋体" w:cs="微软雅黑"/>
          <w:color w:val="000000" w:themeColor="text1"/>
          <w:spacing w:val="-3"/>
          <w:sz w:val="22"/>
          <w:szCs w:val="22"/>
          <w:lang w:val="zh-CN" w:eastAsia="zh-CN" w:bidi="zh-CN"/>
        </w:rPr>
        <w:t>并于三个工作日内办理学费至指定账号，谢谢！</w:t>
      </w:r>
    </w:p>
    <w:p>
      <w:pPr>
        <w:spacing w:before="0" w:line="252" w:lineRule="exact"/>
        <w:ind w:left="520" w:right="0" w:firstLine="856" w:firstLineChars="400"/>
        <w:jc w:val="left"/>
        <w:rPr>
          <w:rFonts w:hint="eastAsia" w:ascii="宋体" w:eastAsia="宋体"/>
          <w:sz w:val="21"/>
        </w:rPr>
      </w:pPr>
      <w:r>
        <w:rPr>
          <w:rFonts w:hint="eastAsia" w:ascii="宋体" w:hAnsi="微软雅黑" w:eastAsia="宋体" w:cs="微软雅黑"/>
          <w:color w:val="000000" w:themeColor="text1"/>
          <w:spacing w:val="-3"/>
          <w:sz w:val="22"/>
          <w:szCs w:val="22"/>
          <w:lang w:val="zh-CN" w:eastAsia="zh-CN" w:bidi="zh-CN"/>
        </w:rPr>
        <w:t>教务联系：</w:t>
      </w:r>
      <w:r>
        <w:rPr>
          <w:rFonts w:hint="eastAsia" w:ascii="宋体" w:eastAsia="宋体" w:cs="微软雅黑"/>
          <w:color w:val="000000" w:themeColor="text1"/>
          <w:spacing w:val="-3"/>
          <w:sz w:val="22"/>
          <w:szCs w:val="22"/>
          <w:lang w:val="en-US" w:eastAsia="zh-CN" w:bidi="zh-CN"/>
        </w:rPr>
        <w:t>黄</w:t>
      </w:r>
      <w:r>
        <w:rPr>
          <w:rFonts w:hint="eastAsia" w:ascii="宋体" w:hAnsi="微软雅黑" w:eastAsia="宋体" w:cs="微软雅黑"/>
          <w:color w:val="000000" w:themeColor="text1"/>
          <w:spacing w:val="-3"/>
          <w:sz w:val="22"/>
          <w:szCs w:val="22"/>
          <w:lang w:val="zh-CN" w:eastAsia="zh-CN" w:bidi="zh-CN"/>
        </w:rPr>
        <w:t>老师 15801</w:t>
      </w:r>
      <w:r>
        <w:rPr>
          <w:rFonts w:hint="eastAsia" w:ascii="宋体" w:eastAsia="宋体" w:cs="微软雅黑"/>
          <w:color w:val="000000" w:themeColor="text1"/>
          <w:spacing w:val="-3"/>
          <w:sz w:val="22"/>
          <w:szCs w:val="22"/>
          <w:lang w:val="en-US" w:eastAsia="zh-CN" w:bidi="zh-CN"/>
        </w:rPr>
        <w:t>290683</w:t>
      </w:r>
      <w:r>
        <w:rPr>
          <w:rFonts w:hint="eastAsia" w:ascii="宋体" w:hAnsi="微软雅黑" w:eastAsia="宋体" w:cs="微软雅黑"/>
          <w:color w:val="000000" w:themeColor="text1"/>
          <w:spacing w:val="-3"/>
          <w:sz w:val="22"/>
          <w:szCs w:val="22"/>
          <w:lang w:val="zh-CN" w:eastAsia="zh-CN" w:bidi="zh-CN"/>
        </w:rPr>
        <w:t>（微信同号）</w:t>
      </w:r>
    </w:p>
    <w:sectPr>
      <w:pgSz w:w="11910" w:h="16840"/>
      <w:pgMar w:top="1480" w:right="660" w:bottom="280" w:left="5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38" w:hanging="219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34" w:hanging="21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29" w:hanging="21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23" w:hanging="21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18" w:hanging="21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13" w:hanging="21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07" w:hanging="21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02" w:hanging="21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96" w:hanging="219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YjhkM2E2Y2I2MjQ2YThlYTFiNzkzYmE1ZjdiYmE1OWEifQ=="/>
  </w:docVars>
  <w:rsids>
    <w:rsidRoot w:val="00000000"/>
    <w:rsid w:val="2D146B68"/>
    <w:rsid w:val="34A66B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1755" w:right="1658"/>
      <w:jc w:val="center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table" w:customStyle="1" w:styleId="7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autoRedefine/>
    <w:qFormat/>
    <w:uiPriority w:val="1"/>
    <w:pPr>
      <w:spacing w:before="37"/>
      <w:ind w:left="738" w:hanging="219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9">
    <w:name w:val="Table Paragraph"/>
    <w:basedOn w:val="1"/>
    <w:autoRedefine/>
    <w:qFormat/>
    <w:uiPriority w:val="1"/>
    <w:pPr>
      <w:spacing w:before="109"/>
      <w:ind w:left="107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ScaleCrop>false</ScaleCrop>
  <LinksUpToDate>false</LinksUpToDate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2019-11-20T06:09:00Z</dcterms:created>
  <dc:creator>微软用户</dc:creator>
  <cp:lastModifiedBy>余细焱</cp:lastModifiedBy>
  <dcterms:modified xsi:type="dcterms:W3CDTF">2024-02-15T11:36:34Z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2019-11-20T00:00:00Z</vt:filetime>
  </property>
  <property fmtid="{D5CDD505-2E9C-101B-9397-08002B2CF9AE}" pid="5" name="KSOProductBuildVer">
    <vt:lpwstr>2052-12.1.0.16250</vt:lpwstr>
  </property>
  <property fmtid="{D5CDD505-2E9C-101B-9397-08002B2CF9AE}" pid="6" name="ICV">
    <vt:lpwstr>2C2E59C56D924916A7A1E73D1E518FFF_12</vt:lpwstr>
  </property>
</Properties>
</file>